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7A5FB">
      <w:pPr>
        <w:spacing w:line="700" w:lineRule="exact"/>
        <w:jc w:val="center"/>
        <w:rPr>
          <w:rFonts w:hint="default" w:ascii="宋体" w:hAnsi="宋体" w:eastAsia="黑体" w:cs="宋体"/>
          <w:b/>
          <w:color w:val="auto"/>
          <w:kern w:val="0"/>
          <w:sz w:val="52"/>
          <w:szCs w:val="52"/>
          <w:lang w:val="en-US" w:eastAsia="zh-CN"/>
        </w:rPr>
      </w:pPr>
      <w:bookmarkStart w:id="0" w:name="_Hlt101843627"/>
      <w:bookmarkEnd w:id="0"/>
      <w:bookmarkStart w:id="1" w:name="_Hlt101233737"/>
      <w:bookmarkEnd w:id="1"/>
      <w:r>
        <w:rPr>
          <w:rFonts w:hint="eastAsia" w:ascii="宋体" w:hAnsi="宋体" w:eastAsia="黑体" w:cs="宋体"/>
          <w:b/>
          <w:color w:val="auto"/>
          <w:kern w:val="0"/>
          <w:sz w:val="52"/>
          <w:szCs w:val="52"/>
          <w:lang w:val="en-US" w:eastAsia="zh-CN"/>
        </w:rPr>
        <w:t>乐山</w:t>
      </w:r>
      <w:r>
        <w:rPr>
          <w:rFonts w:hint="eastAsia" w:ascii="宋体" w:hAnsi="宋体" w:eastAsia="黑体" w:cs="宋体"/>
          <w:b/>
          <w:color w:val="auto"/>
          <w:kern w:val="0"/>
          <w:sz w:val="52"/>
          <w:szCs w:val="52"/>
          <w:lang w:eastAsia="zh-CN"/>
        </w:rPr>
        <w:t>苏稽</w:t>
      </w:r>
      <w:r>
        <w:rPr>
          <w:rFonts w:hint="eastAsia" w:ascii="宋体" w:hAnsi="宋体" w:eastAsia="黑体" w:cs="宋体"/>
          <w:b/>
          <w:color w:val="auto"/>
          <w:kern w:val="0"/>
          <w:sz w:val="52"/>
          <w:szCs w:val="52"/>
          <w:lang w:val="en-US" w:eastAsia="zh-CN"/>
        </w:rPr>
        <w:t>新</w:t>
      </w:r>
      <w:r>
        <w:rPr>
          <w:rFonts w:hint="eastAsia" w:ascii="宋体" w:hAnsi="宋体" w:eastAsia="黑体" w:cs="宋体"/>
          <w:b/>
          <w:color w:val="auto"/>
          <w:kern w:val="0"/>
          <w:sz w:val="52"/>
          <w:szCs w:val="52"/>
          <w:lang w:eastAsia="zh-CN"/>
        </w:rPr>
        <w:t>区</w:t>
      </w:r>
      <w:r>
        <w:rPr>
          <w:rFonts w:hint="eastAsia" w:ascii="宋体" w:hAnsi="宋体" w:eastAsia="黑体" w:cs="宋体"/>
          <w:b/>
          <w:color w:val="auto"/>
          <w:kern w:val="0"/>
          <w:sz w:val="52"/>
          <w:szCs w:val="52"/>
          <w:lang w:val="en-US" w:eastAsia="zh-CN"/>
        </w:rPr>
        <w:t>工农路智慧停车场</w:t>
      </w:r>
      <w:r>
        <w:rPr>
          <w:rFonts w:hint="eastAsia" w:hAnsi="宋体" w:eastAsia="黑体" w:cs="宋体"/>
          <w:b/>
          <w:color w:val="auto"/>
          <w:kern w:val="0"/>
          <w:sz w:val="52"/>
          <w:szCs w:val="52"/>
          <w:lang w:val="en-US" w:eastAsia="zh-CN"/>
        </w:rPr>
        <w:t>项目、</w:t>
      </w:r>
    </w:p>
    <w:p w14:paraId="43B4C468">
      <w:pPr>
        <w:spacing w:line="700" w:lineRule="exact"/>
        <w:jc w:val="center"/>
        <w:rPr>
          <w:rFonts w:hint="eastAsia" w:ascii="宋体" w:hAnsi="宋体" w:eastAsia="黑体" w:cs="宋体"/>
          <w:b/>
          <w:color w:val="auto"/>
          <w:kern w:val="0"/>
          <w:sz w:val="52"/>
          <w:szCs w:val="52"/>
          <w:lang w:val="en-US" w:eastAsia="zh-CN"/>
        </w:rPr>
      </w:pPr>
      <w:r>
        <w:rPr>
          <w:rFonts w:hint="eastAsia" w:ascii="宋体" w:hAnsi="宋体" w:eastAsia="黑体" w:cs="宋体"/>
          <w:b/>
          <w:color w:val="auto"/>
          <w:kern w:val="0"/>
          <w:sz w:val="52"/>
          <w:szCs w:val="52"/>
          <w:lang w:val="en-US" w:eastAsia="zh-CN"/>
        </w:rPr>
        <w:t>乐山奥体中心部分功能提升项目</w:t>
      </w:r>
    </w:p>
    <w:p w14:paraId="7025B442">
      <w:pPr>
        <w:spacing w:line="700" w:lineRule="exact"/>
        <w:jc w:val="center"/>
        <w:rPr>
          <w:rFonts w:hint="default" w:ascii="宋体" w:hAnsi="宋体" w:eastAsia="黑体" w:cs="宋体"/>
          <w:b/>
          <w:color w:val="auto"/>
          <w:kern w:val="0"/>
          <w:sz w:val="52"/>
          <w:szCs w:val="52"/>
          <w:lang w:val="en-US" w:eastAsia="zh-CN"/>
        </w:rPr>
      </w:pPr>
      <w:r>
        <w:rPr>
          <w:rFonts w:hint="eastAsia" w:ascii="宋体" w:hAnsi="宋体" w:eastAsia="黑体" w:cs="宋体"/>
          <w:b/>
          <w:color w:val="auto"/>
          <w:kern w:val="0"/>
          <w:sz w:val="52"/>
          <w:szCs w:val="52"/>
          <w:lang w:val="en-US" w:eastAsia="zh-CN"/>
        </w:rPr>
        <w:t>选聘第三方结算评审单位</w:t>
      </w:r>
    </w:p>
    <w:p w14:paraId="2E071049">
      <w:pPr>
        <w:pStyle w:val="40"/>
        <w:rPr>
          <w:rFonts w:ascii="宋体" w:hAnsi="宋体" w:cs="宋体"/>
          <w:b/>
          <w:color w:val="auto"/>
          <w:sz w:val="36"/>
          <w:szCs w:val="36"/>
          <w:highlight w:val="none"/>
        </w:rPr>
      </w:pPr>
    </w:p>
    <w:p w14:paraId="0AC8379D">
      <w:pPr>
        <w:pStyle w:val="40"/>
        <w:rPr>
          <w:rFonts w:ascii="宋体" w:hAnsi="宋体" w:cs="宋体"/>
          <w:b/>
          <w:color w:val="auto"/>
          <w:sz w:val="36"/>
          <w:szCs w:val="36"/>
          <w:highlight w:val="none"/>
        </w:rPr>
      </w:pPr>
    </w:p>
    <w:p w14:paraId="43926FE5">
      <w:pPr>
        <w:pStyle w:val="40"/>
        <w:rPr>
          <w:rFonts w:ascii="宋体" w:hAnsi="宋体" w:cs="宋体"/>
          <w:b/>
          <w:color w:val="auto"/>
          <w:sz w:val="36"/>
          <w:szCs w:val="36"/>
          <w:highlight w:val="none"/>
        </w:rPr>
      </w:pPr>
    </w:p>
    <w:p w14:paraId="0DB76A5C">
      <w:pPr>
        <w:pStyle w:val="11"/>
        <w:rPr>
          <w:rFonts w:ascii="宋体" w:hAnsi="宋体" w:cs="宋体"/>
          <w:color w:val="auto"/>
          <w:highlight w:val="none"/>
        </w:rPr>
      </w:pPr>
    </w:p>
    <w:p w14:paraId="2399DC46">
      <w:pPr>
        <w:pStyle w:val="11"/>
        <w:rPr>
          <w:rFonts w:ascii="宋体" w:hAnsi="宋体" w:cs="宋体"/>
          <w:color w:val="auto"/>
          <w:highlight w:val="none"/>
        </w:rPr>
      </w:pPr>
    </w:p>
    <w:p w14:paraId="32BE4BCC">
      <w:pPr>
        <w:jc w:val="center"/>
        <w:rPr>
          <w:rFonts w:ascii="宋体" w:hAnsi="宋体" w:cs="宋体"/>
          <w:b/>
          <w:color w:val="auto"/>
          <w:sz w:val="36"/>
          <w:szCs w:val="36"/>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sz w:val="96"/>
          <w:szCs w:val="96"/>
          <w:highlight w:val="none"/>
          <w14:shadow w14:blurRad="50800" w14:dist="38100" w14:dir="2700000" w14:sx="100000" w14:sy="100000" w14:kx="0" w14:ky="0" w14:algn="tl">
            <w14:srgbClr w14:val="000000">
              <w14:alpha w14:val="60000"/>
            </w14:srgbClr>
          </w14:shadow>
        </w:rPr>
        <w:t>磋 商 文 件</w:t>
      </w:r>
    </w:p>
    <w:p w14:paraId="25470A14">
      <w:pPr>
        <w:snapToGrid w:val="0"/>
        <w:spacing w:line="480" w:lineRule="auto"/>
        <w:rPr>
          <w:rFonts w:ascii="宋体" w:hAnsi="宋体" w:cs="宋体"/>
          <w:b/>
          <w:color w:val="auto"/>
          <w:sz w:val="32"/>
          <w:szCs w:val="32"/>
          <w:highlight w:val="none"/>
        </w:rPr>
      </w:pPr>
    </w:p>
    <w:p w14:paraId="02CF76A5">
      <w:pPr>
        <w:tabs>
          <w:tab w:val="left" w:pos="4291"/>
        </w:tabs>
        <w:snapToGrid w:val="0"/>
        <w:spacing w:line="480" w:lineRule="auto"/>
        <w:rPr>
          <w:rFonts w:hint="eastAsia" w:ascii="宋体" w:hAnsi="宋体" w:cs="宋体"/>
          <w:b/>
          <w:color w:val="auto"/>
          <w:sz w:val="32"/>
          <w:szCs w:val="32"/>
          <w:highlight w:val="none"/>
        </w:rPr>
      </w:pPr>
    </w:p>
    <w:p w14:paraId="77323380">
      <w:pPr>
        <w:tabs>
          <w:tab w:val="left" w:pos="4291"/>
        </w:tabs>
        <w:snapToGrid w:val="0"/>
        <w:spacing w:line="480" w:lineRule="auto"/>
        <w:rPr>
          <w:color w:val="auto"/>
          <w:highlight w:val="none"/>
        </w:rPr>
      </w:pPr>
      <w:r>
        <w:rPr>
          <w:rFonts w:hint="eastAsia" w:ascii="宋体" w:hAnsi="宋体" w:cs="宋体"/>
          <w:b/>
          <w:color w:val="auto"/>
          <w:sz w:val="32"/>
          <w:szCs w:val="32"/>
          <w:highlight w:val="none"/>
        </w:rPr>
        <w:tab/>
      </w:r>
    </w:p>
    <w:p w14:paraId="41618F96">
      <w:pPr>
        <w:keepNext w:val="0"/>
        <w:keepLines w:val="0"/>
        <w:pageBreakBefore w:val="0"/>
        <w:widowControl w:val="0"/>
        <w:shd w:val="clear"/>
        <w:kinsoku/>
        <w:wordWrap/>
        <w:overflowPunct/>
        <w:topLinePunct w:val="0"/>
        <w:autoSpaceDE/>
        <w:autoSpaceDN/>
        <w:bidi w:val="0"/>
        <w:adjustRightInd/>
        <w:snapToGrid w:val="0"/>
        <w:spacing w:line="740" w:lineRule="exact"/>
        <w:ind w:firstLine="544" w:firstLineChars="150"/>
        <w:jc w:val="both"/>
        <w:textAlignment w:val="auto"/>
        <w:outlineLvl w:val="9"/>
        <w:rPr>
          <w:rFonts w:hint="eastAsia" w:ascii="宋体" w:hAnsi="宋体" w:eastAsia="宋体" w:cs="宋体"/>
          <w:b/>
          <w:color w:val="auto"/>
          <w:sz w:val="36"/>
          <w:szCs w:val="36"/>
          <w:highlight w:val="none"/>
        </w:rPr>
      </w:pPr>
    </w:p>
    <w:p w14:paraId="482C077E">
      <w:pPr>
        <w:keepNext w:val="0"/>
        <w:keepLines w:val="0"/>
        <w:pageBreakBefore w:val="0"/>
        <w:widowControl w:val="0"/>
        <w:shd w:val="clear"/>
        <w:kinsoku/>
        <w:wordWrap/>
        <w:overflowPunct/>
        <w:topLinePunct w:val="0"/>
        <w:autoSpaceDE/>
        <w:autoSpaceDN/>
        <w:bidi w:val="0"/>
        <w:adjustRightInd/>
        <w:snapToGrid w:val="0"/>
        <w:spacing w:line="740" w:lineRule="exact"/>
        <w:ind w:firstLine="544" w:firstLineChars="150"/>
        <w:jc w:val="both"/>
        <w:textAlignment w:val="auto"/>
        <w:outlineLvl w:val="9"/>
        <w:rPr>
          <w:rFonts w:hint="eastAsia" w:ascii="宋体" w:hAnsi="宋体" w:eastAsia="宋体" w:cs="宋体"/>
          <w:b/>
          <w:color w:val="auto"/>
          <w:sz w:val="36"/>
          <w:szCs w:val="36"/>
          <w:highlight w:val="none"/>
        </w:rPr>
      </w:pPr>
    </w:p>
    <w:p w14:paraId="1E541B7C">
      <w:pPr>
        <w:keepNext w:val="0"/>
        <w:keepLines w:val="0"/>
        <w:pageBreakBefore w:val="0"/>
        <w:widowControl w:val="0"/>
        <w:shd w:val="clear"/>
        <w:kinsoku/>
        <w:wordWrap/>
        <w:overflowPunct/>
        <w:topLinePunct w:val="0"/>
        <w:autoSpaceDE/>
        <w:autoSpaceDN/>
        <w:bidi w:val="0"/>
        <w:adjustRightInd/>
        <w:snapToGrid w:val="0"/>
        <w:spacing w:line="740" w:lineRule="exact"/>
        <w:ind w:firstLine="544" w:firstLineChars="150"/>
        <w:jc w:val="both"/>
        <w:textAlignment w:val="auto"/>
        <w:outlineLvl w:val="9"/>
        <w:rPr>
          <w:rFonts w:hint="eastAsia" w:ascii="宋体" w:hAnsi="宋体" w:eastAsia="宋体" w:cs="宋体"/>
          <w:b/>
          <w:color w:val="auto"/>
          <w:sz w:val="36"/>
          <w:szCs w:val="36"/>
          <w:highlight w:val="none"/>
        </w:rPr>
      </w:pPr>
    </w:p>
    <w:p w14:paraId="7C2DE6DE">
      <w:pPr>
        <w:keepNext w:val="0"/>
        <w:keepLines w:val="0"/>
        <w:pageBreakBefore w:val="0"/>
        <w:widowControl w:val="0"/>
        <w:shd w:val="clear"/>
        <w:kinsoku/>
        <w:wordWrap/>
        <w:overflowPunct/>
        <w:topLinePunct w:val="0"/>
        <w:autoSpaceDE/>
        <w:autoSpaceDN/>
        <w:bidi w:val="0"/>
        <w:adjustRightInd/>
        <w:snapToGrid w:val="0"/>
        <w:spacing w:line="740" w:lineRule="exact"/>
        <w:ind w:firstLine="544" w:firstLineChars="150"/>
        <w:jc w:val="both"/>
        <w:textAlignment w:val="auto"/>
        <w:outlineLvl w:val="9"/>
        <w:rPr>
          <w:rFonts w:hint="eastAsia" w:ascii="宋体" w:hAnsi="宋体" w:eastAsia="宋体" w:cs="宋体"/>
          <w:b/>
          <w:color w:val="auto"/>
          <w:sz w:val="36"/>
          <w:szCs w:val="36"/>
          <w:highlight w:val="none"/>
        </w:rPr>
      </w:pPr>
    </w:p>
    <w:p w14:paraId="0B8609AC">
      <w:pPr>
        <w:keepNext w:val="0"/>
        <w:keepLines w:val="0"/>
        <w:pageBreakBefore w:val="0"/>
        <w:widowControl w:val="0"/>
        <w:shd w:val="clear"/>
        <w:kinsoku/>
        <w:wordWrap/>
        <w:overflowPunct/>
        <w:topLinePunct w:val="0"/>
        <w:autoSpaceDE/>
        <w:autoSpaceDN/>
        <w:bidi w:val="0"/>
        <w:adjustRightInd/>
        <w:snapToGrid w:val="0"/>
        <w:spacing w:line="740" w:lineRule="exact"/>
        <w:ind w:firstLine="544" w:firstLineChars="150"/>
        <w:jc w:val="both"/>
        <w:textAlignment w:val="auto"/>
        <w:outlineLvl w:val="9"/>
        <w:rPr>
          <w:rFonts w:hint="eastAsia" w:eastAsia="宋体"/>
          <w:color w:val="auto"/>
          <w:highlight w:val="none"/>
          <w:lang w:eastAsia="zh-CN"/>
        </w:rPr>
      </w:pPr>
      <w:r>
        <w:rPr>
          <w:rFonts w:hint="eastAsia" w:ascii="宋体" w:hAnsi="宋体" w:eastAsia="宋体" w:cs="宋体"/>
          <w:b/>
          <w:color w:val="auto"/>
          <w:sz w:val="36"/>
          <w:szCs w:val="36"/>
          <w:highlight w:val="none"/>
        </w:rPr>
        <w:t>采</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购</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lang w:eastAsia="zh-CN"/>
        </w:rPr>
        <w:t>人</w:t>
      </w:r>
      <w:r>
        <w:rPr>
          <w:rFonts w:hint="eastAsia" w:ascii="宋体" w:hAnsi="宋体" w:eastAsia="宋体" w:cs="宋体"/>
          <w:b/>
          <w:color w:val="auto"/>
          <w:sz w:val="36"/>
          <w:szCs w:val="36"/>
          <w:highlight w:val="none"/>
        </w:rPr>
        <w:t>：</w:t>
      </w:r>
      <w:r>
        <w:rPr>
          <w:rFonts w:hint="eastAsia" w:hAnsi="宋体" w:cs="宋体"/>
          <w:b/>
          <w:color w:val="auto"/>
          <w:sz w:val="36"/>
          <w:szCs w:val="36"/>
          <w:highlight w:val="none"/>
          <w:lang w:val="en-US" w:eastAsia="zh-CN"/>
        </w:rPr>
        <w:t>乐山苏稽新区投资建设（集团）有限公司</w:t>
      </w:r>
    </w:p>
    <w:p w14:paraId="33F56820">
      <w:pPr>
        <w:shd w:val="clear"/>
        <w:spacing w:line="560" w:lineRule="exact"/>
        <w:jc w:val="center"/>
        <w:rPr>
          <w:rFonts w:hint="default" w:ascii="Times New Roman" w:hAnsi="Times New Roman" w:eastAsia="仿宋" w:cs="Times New Roman"/>
          <w:b/>
          <w:bCs/>
          <w:color w:val="auto"/>
          <w:sz w:val="36"/>
          <w:szCs w:val="36"/>
          <w:highlight w:val="none"/>
        </w:rPr>
      </w:pPr>
      <w:r>
        <w:rPr>
          <w:rFonts w:hint="default" w:ascii="Times New Roman" w:hAnsi="Times New Roman" w:cs="Times New Roman"/>
          <w:b/>
          <w:color w:val="auto"/>
          <w:sz w:val="36"/>
          <w:szCs w:val="36"/>
          <w:highlight w:val="none"/>
        </w:rPr>
        <w:t>二〇</w:t>
      </w:r>
      <w:r>
        <w:rPr>
          <w:rFonts w:hint="default" w:ascii="Times New Roman" w:hAnsi="Times New Roman" w:cs="Times New Roman"/>
          <w:b/>
          <w:color w:val="auto"/>
          <w:sz w:val="36"/>
          <w:szCs w:val="36"/>
          <w:highlight w:val="none"/>
          <w:lang w:val="en-US" w:eastAsia="zh-CN"/>
        </w:rPr>
        <w:t>二</w:t>
      </w:r>
      <w:r>
        <w:rPr>
          <w:rFonts w:hint="eastAsia" w:ascii="Times New Roman" w:hAnsi="Times New Roman" w:cs="Times New Roman"/>
          <w:b/>
          <w:color w:val="auto"/>
          <w:sz w:val="36"/>
          <w:szCs w:val="36"/>
          <w:highlight w:val="none"/>
          <w:lang w:val="en-US" w:eastAsia="zh-CN"/>
        </w:rPr>
        <w:t>六</w:t>
      </w:r>
      <w:r>
        <w:rPr>
          <w:rFonts w:hint="default" w:ascii="Times New Roman" w:hAnsi="Times New Roman" w:cs="Times New Roman"/>
          <w:b/>
          <w:color w:val="auto"/>
          <w:sz w:val="36"/>
          <w:szCs w:val="36"/>
          <w:highlight w:val="none"/>
        </w:rPr>
        <w:t>年</w:t>
      </w:r>
      <w:r>
        <w:rPr>
          <w:rFonts w:hint="eastAsia" w:ascii="Times New Roman" w:hAnsi="Times New Roman" w:cs="Times New Roman"/>
          <w:b/>
          <w:color w:val="auto"/>
          <w:sz w:val="36"/>
          <w:szCs w:val="36"/>
          <w:highlight w:val="none"/>
          <w:lang w:val="en-US" w:eastAsia="zh-CN"/>
        </w:rPr>
        <w:t>四</w:t>
      </w:r>
      <w:r>
        <w:rPr>
          <w:rFonts w:hint="default" w:ascii="Times New Roman" w:hAnsi="Times New Roman" w:cs="Times New Roman"/>
          <w:b/>
          <w:color w:val="auto"/>
          <w:sz w:val="36"/>
          <w:szCs w:val="36"/>
          <w:highlight w:val="none"/>
        </w:rPr>
        <w:t>月</w:t>
      </w:r>
    </w:p>
    <w:p w14:paraId="4A4B0B64">
      <w:pPr>
        <w:spacing w:before="260" w:after="260" w:line="560" w:lineRule="exact"/>
        <w:jc w:val="center"/>
        <w:rPr>
          <w:rFonts w:ascii="宋体" w:hAnsi="宋体" w:cs="宋体"/>
          <w:b/>
          <w:bCs/>
          <w:color w:val="auto"/>
          <w:sz w:val="36"/>
          <w:highlight w:val="none"/>
        </w:rPr>
        <w:sectPr>
          <w:headerReference r:id="rId4" w:type="first"/>
          <w:headerReference r:id="rId3" w:type="default"/>
          <w:pgSz w:w="11906" w:h="16838"/>
          <w:pgMar w:top="1440" w:right="1304" w:bottom="1440" w:left="1304" w:header="850" w:footer="992" w:gutter="0"/>
          <w:pgBorders>
            <w:top w:val="none" w:sz="0" w:space="0"/>
            <w:left w:val="none" w:sz="0" w:space="0"/>
            <w:bottom w:val="none" w:sz="0" w:space="0"/>
            <w:right w:val="none" w:sz="0" w:space="0"/>
          </w:pgBorders>
          <w:pgNumType w:start="3"/>
          <w:cols w:space="0" w:num="1"/>
          <w:titlePg/>
          <w:docGrid w:type="linesAndChars" w:linePitch="312" w:charSpace="672"/>
        </w:sectPr>
      </w:pPr>
    </w:p>
    <w:p w14:paraId="01622963">
      <w:pPr>
        <w:spacing w:before="260" w:after="260" w:line="560" w:lineRule="exact"/>
        <w:jc w:val="center"/>
        <w:rPr>
          <w:rFonts w:hint="eastAsia" w:ascii="仿宋" w:hAnsi="仿宋" w:eastAsia="仿宋" w:cs="仿宋"/>
          <w:color w:val="auto"/>
          <w:highlight w:val="none"/>
        </w:rPr>
      </w:pPr>
      <w:r>
        <w:rPr>
          <w:rFonts w:hint="eastAsia" w:ascii="仿宋" w:hAnsi="仿宋" w:eastAsia="仿宋" w:cs="仿宋"/>
          <w:b/>
          <w:bCs/>
          <w:color w:val="auto"/>
          <w:sz w:val="36"/>
          <w:highlight w:val="none"/>
        </w:rPr>
        <w:t>目 录</w:t>
      </w:r>
    </w:p>
    <w:p w14:paraId="0BA0266B">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"1-1" \h \u </w:instrText>
      </w:r>
      <w:r>
        <w:rPr>
          <w:rFonts w:hint="eastAsia" w:ascii="仿宋" w:hAnsi="仿宋" w:eastAsia="仿宋" w:cs="仿宋"/>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_Toc3828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第一章 磋商邀请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_Toc3828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3EAE3E">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_Toc9122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val="0"/>
          <w:color w:val="auto"/>
          <w:kern w:val="2"/>
          <w:sz w:val="24"/>
          <w:szCs w:val="24"/>
          <w:highlight w:val="none"/>
        </w:rPr>
        <w:t>第二章 磋商须知</w:t>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4</w:t>
      </w:r>
      <w:r>
        <w:rPr>
          <w:rFonts w:hint="eastAsia" w:ascii="宋体" w:hAnsi="宋体" w:eastAsia="宋体" w:cs="宋体"/>
          <w:color w:val="auto"/>
          <w:sz w:val="24"/>
          <w:szCs w:val="24"/>
          <w:highlight w:val="none"/>
        </w:rPr>
        <w:fldChar w:fldCharType="end"/>
      </w:r>
    </w:p>
    <w:p w14:paraId="363A2A42">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_Toc12890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第三章 供应商资格、资质性要求及相关证明材料</w:t>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rPr>
        <w:fldChar w:fldCharType="end"/>
      </w:r>
      <w:r>
        <w:rPr>
          <w:rFonts w:hint="eastAsia" w:hAnsi="宋体" w:cs="宋体"/>
          <w:color w:val="auto"/>
          <w:sz w:val="24"/>
          <w:szCs w:val="24"/>
          <w:highlight w:val="none"/>
          <w:lang w:val="en-US" w:eastAsia="zh-CN"/>
        </w:rPr>
        <w:t>1</w:t>
      </w:r>
    </w:p>
    <w:p w14:paraId="2771934A">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_Toc2902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kern w:val="44"/>
          <w:sz w:val="24"/>
          <w:szCs w:val="24"/>
          <w:highlight w:val="none"/>
        </w:rPr>
        <w:t>第四章 供应商符合性要求及通过标准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3789C40">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_Toc28326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kern w:val="44"/>
          <w:sz w:val="24"/>
          <w:szCs w:val="24"/>
          <w:highlight w:val="none"/>
        </w:rPr>
        <w:t>第五章 采购项目技术、服务、采购合同内容条款及其他商务要求</w:t>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rPr>
        <w:fldChar w:fldCharType="end"/>
      </w:r>
      <w:r>
        <w:rPr>
          <w:rFonts w:hint="eastAsia" w:hAnsi="宋体" w:cs="宋体"/>
          <w:color w:val="auto"/>
          <w:sz w:val="24"/>
          <w:szCs w:val="24"/>
          <w:highlight w:val="none"/>
          <w:lang w:val="en-US" w:eastAsia="zh-CN"/>
        </w:rPr>
        <w:t>5</w:t>
      </w:r>
    </w:p>
    <w:p w14:paraId="0B7C5B56">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 采购项目实质性要求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r>
        <w:rPr>
          <w:rFonts w:hint="eastAsia" w:hAnsi="宋体" w:cs="宋体"/>
          <w:color w:val="auto"/>
          <w:sz w:val="24"/>
          <w:szCs w:val="24"/>
          <w:highlight w:val="none"/>
          <w:lang w:val="en-US" w:eastAsia="zh-CN"/>
        </w:rPr>
        <w:t>31</w:t>
      </w:r>
    </w:p>
    <w:p w14:paraId="2D72B9EF">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 磋商内容、磋商过程中可实质性变动的内容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C497C1">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_Toc23157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第八章 响应文件格式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_Toc23157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D82BCF">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第九章 评审方法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_Toc1237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E03BB20">
      <w:pPr>
        <w:pStyle w:val="21"/>
        <w:keepNext w:val="0"/>
        <w:keepLines w:val="0"/>
        <w:pageBreakBefore w:val="0"/>
        <w:widowControl w:val="0"/>
        <w:tabs>
          <w:tab w:val="right" w:leader="dot" w:pos="9298"/>
        </w:tabs>
        <w:kinsoku/>
        <w:wordWrap/>
        <w:overflowPunct/>
        <w:topLinePunct w:val="0"/>
        <w:autoSpaceDE/>
        <w:autoSpaceDN/>
        <w:bidi w:val="0"/>
        <w:adjustRightInd/>
        <w:snapToGrid/>
        <w:spacing w:line="520" w:lineRule="exact"/>
        <w:textAlignment w:val="auto"/>
        <w:rPr>
          <w:rFonts w:hint="eastAsia" w:ascii="仿宋" w:hAnsi="仿宋" w:eastAsia="宋体" w:cs="仿宋"/>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_Toc5099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第十章 采购合同（样稿）</w:t>
      </w:r>
      <w:r>
        <w:rPr>
          <w:rFonts w:hint="eastAsia" w:ascii="宋体" w:hAnsi="宋体" w:eastAsia="宋体" w:cs="宋体"/>
          <w:color w:val="auto"/>
          <w:sz w:val="24"/>
          <w:szCs w:val="24"/>
          <w:highlight w:val="none"/>
        </w:rPr>
        <w:tab/>
      </w:r>
      <w:r>
        <w:rPr>
          <w:rFonts w:hint="eastAsia" w:hAnsi="宋体" w:cs="宋体"/>
          <w:color w:val="auto"/>
          <w:sz w:val="24"/>
          <w:szCs w:val="24"/>
          <w:highlight w:val="none"/>
          <w:lang w:val="en-US" w:eastAsia="zh-CN"/>
        </w:rPr>
        <w:t>6</w:t>
      </w:r>
      <w:r>
        <w:rPr>
          <w:rFonts w:hint="eastAsia" w:ascii="宋体" w:hAnsi="宋体" w:eastAsia="宋体" w:cs="宋体"/>
          <w:color w:val="auto"/>
          <w:sz w:val="24"/>
          <w:szCs w:val="24"/>
          <w:highlight w:val="none"/>
        </w:rPr>
        <w:fldChar w:fldCharType="end"/>
      </w:r>
      <w:r>
        <w:rPr>
          <w:rFonts w:hint="eastAsia" w:hAnsi="宋体" w:cs="宋体"/>
          <w:color w:val="auto"/>
          <w:sz w:val="24"/>
          <w:szCs w:val="24"/>
          <w:highlight w:val="none"/>
          <w:lang w:val="en-US" w:eastAsia="zh-CN"/>
        </w:rPr>
        <w:t>3</w:t>
      </w:r>
    </w:p>
    <w:p w14:paraId="0EAA0EA1">
      <w:pPr>
        <w:keepNext w:val="0"/>
        <w:keepLines w:val="0"/>
        <w:pageBreakBefore w:val="0"/>
        <w:widowControl w:val="0"/>
        <w:kinsoku/>
        <w:wordWrap/>
        <w:overflowPunct/>
        <w:topLinePunct w:val="0"/>
        <w:autoSpaceDE/>
        <w:autoSpaceDN/>
        <w:bidi w:val="0"/>
        <w:adjustRightInd/>
        <w:snapToGrid/>
        <w:spacing w:line="520" w:lineRule="exact"/>
        <w:textAlignment w:val="auto"/>
        <w:rPr>
          <w:color w:val="auto"/>
          <w:highlight w:val="none"/>
        </w:rPr>
      </w:pPr>
      <w:r>
        <w:rPr>
          <w:rFonts w:hint="eastAsia" w:ascii="仿宋" w:hAnsi="仿宋" w:eastAsia="仿宋" w:cs="仿宋"/>
          <w:color w:val="auto"/>
          <w:sz w:val="24"/>
          <w:szCs w:val="24"/>
          <w:highlight w:val="none"/>
        </w:rPr>
        <w:fldChar w:fldCharType="end"/>
      </w:r>
    </w:p>
    <w:p w14:paraId="6A9032EC">
      <w:pPr>
        <w:spacing w:line="560" w:lineRule="exact"/>
        <w:rPr>
          <w:rFonts w:ascii="仿宋" w:hAnsi="仿宋" w:eastAsia="仿宋" w:cs="仿宋"/>
          <w:b/>
          <w:bCs/>
          <w:color w:val="auto"/>
          <w:sz w:val="36"/>
          <w:szCs w:val="36"/>
          <w:highlight w:val="none"/>
        </w:rPr>
        <w:sectPr>
          <w:footerReference r:id="rId6" w:type="first"/>
          <w:footerReference r:id="rId5" w:type="default"/>
          <w:pgSz w:w="11906" w:h="16838"/>
          <w:pgMar w:top="1440" w:right="1304" w:bottom="1440" w:left="1304" w:header="850" w:footer="992" w:gutter="0"/>
          <w:pgBorders>
            <w:top w:val="none" w:sz="0" w:space="0"/>
            <w:left w:val="none" w:sz="0" w:space="0"/>
            <w:bottom w:val="none" w:sz="0" w:space="0"/>
            <w:right w:val="none" w:sz="0" w:space="0"/>
          </w:pgBorders>
          <w:pgNumType w:start="1"/>
          <w:cols w:space="0" w:num="1"/>
          <w:titlePg/>
          <w:docGrid w:type="linesAndChars" w:linePitch="312" w:charSpace="672"/>
        </w:sectPr>
      </w:pPr>
      <w:bookmarkStart w:id="2" w:name="_Toc1521"/>
    </w:p>
    <w:p w14:paraId="5635574E">
      <w:pPr>
        <w:keepNext/>
        <w:keepLines/>
        <w:spacing w:before="340" w:after="330"/>
        <w:jc w:val="center"/>
        <w:outlineLvl w:val="0"/>
        <w:rPr>
          <w:rFonts w:ascii="仿宋" w:hAnsi="仿宋" w:eastAsia="仿宋" w:cs="仿宋"/>
          <w:color w:val="auto"/>
          <w:sz w:val="36"/>
          <w:szCs w:val="36"/>
          <w:highlight w:val="none"/>
        </w:rPr>
      </w:pPr>
      <w:bookmarkStart w:id="3" w:name="_Toc19403"/>
      <w:bookmarkStart w:id="4" w:name="_Toc16350"/>
      <w:bookmarkStart w:id="5" w:name="_Toc11235"/>
      <w:bookmarkStart w:id="6" w:name="_Toc3828"/>
      <w:r>
        <w:rPr>
          <w:rFonts w:hint="eastAsia" w:ascii="仿宋" w:hAnsi="仿宋" w:eastAsia="仿宋" w:cs="仿宋"/>
          <w:b/>
          <w:bCs/>
          <w:color w:val="auto"/>
          <w:sz w:val="36"/>
          <w:szCs w:val="36"/>
          <w:highlight w:val="none"/>
        </w:rPr>
        <w:t>第一章 磋商邀请</w:t>
      </w:r>
      <w:bookmarkEnd w:id="2"/>
      <w:bookmarkEnd w:id="3"/>
      <w:bookmarkEnd w:id="4"/>
      <w:bookmarkEnd w:id="5"/>
      <w:bookmarkEnd w:id="6"/>
    </w:p>
    <w:p w14:paraId="6D206189">
      <w:pPr>
        <w:keepNext w:val="0"/>
        <w:keepLines w:val="0"/>
        <w:pageBreakBefore w:val="0"/>
        <w:kinsoku/>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_GB2312" w:eastAsia="仿宋_GB2312" w:cs="Times New Roman"/>
          <w:color w:val="auto"/>
          <w:kern w:val="2"/>
          <w:sz w:val="28"/>
          <w:szCs w:val="28"/>
          <w:u w:val="none"/>
          <w:lang w:val="en-US" w:eastAsia="zh-CN" w:bidi="ar-SA"/>
        </w:rPr>
        <w:t>乐山苏稽新区投资建设（集团）有限公司</w:t>
      </w:r>
      <w:r>
        <w:rPr>
          <w:rFonts w:hint="eastAsia" w:ascii="仿宋_GB2312" w:hAnsi="Times New Roman" w:eastAsia="仿宋_GB2312" w:cs="Times New Roman"/>
          <w:color w:val="auto"/>
          <w:kern w:val="2"/>
          <w:sz w:val="28"/>
          <w:szCs w:val="28"/>
          <w:u w:val="none"/>
          <w:lang w:val="en-US" w:eastAsia="zh-CN" w:bidi="ar-SA"/>
        </w:rPr>
        <w:t>拟对</w:t>
      </w:r>
      <w:r>
        <w:rPr>
          <w:rFonts w:hint="eastAsia" w:ascii="仿宋_GB2312" w:eastAsia="仿宋_GB2312" w:cs="Times New Roman"/>
          <w:color w:val="auto"/>
          <w:kern w:val="2"/>
          <w:sz w:val="28"/>
          <w:szCs w:val="28"/>
          <w:u w:val="single"/>
          <w:lang w:val="en-US" w:eastAsia="zh-CN" w:bidi="ar-SA"/>
        </w:rPr>
        <w:t>乐山苏稽新区工农路智慧停车场项目、乐山奥体中心部分功能提升项目选聘第三方结算评审单位</w:t>
      </w:r>
      <w:r>
        <w:rPr>
          <w:rFonts w:hint="eastAsia" w:ascii="仿宋_GB2312" w:hAnsi="Times New Roman" w:eastAsia="仿宋_GB2312" w:cs="Times New Roman"/>
          <w:color w:val="auto"/>
          <w:kern w:val="2"/>
          <w:sz w:val="28"/>
          <w:szCs w:val="28"/>
          <w:u w:val="none"/>
          <w:lang w:val="en-US" w:eastAsia="zh-CN" w:bidi="ar-SA"/>
        </w:rPr>
        <w:t>进行竞争性</w:t>
      </w:r>
      <w:r>
        <w:rPr>
          <w:rFonts w:hint="eastAsia" w:ascii="仿宋_GB2312" w:eastAsia="仿宋_GB2312" w:cs="Times New Roman"/>
          <w:color w:val="auto"/>
          <w:kern w:val="2"/>
          <w:sz w:val="28"/>
          <w:szCs w:val="28"/>
          <w:u w:val="none"/>
          <w:lang w:val="en-US" w:eastAsia="zh-CN" w:bidi="ar-SA"/>
        </w:rPr>
        <w:t>磋商</w:t>
      </w:r>
      <w:r>
        <w:rPr>
          <w:rFonts w:hint="eastAsia" w:ascii="仿宋_GB2312" w:hAnsi="Times New Roman" w:eastAsia="仿宋_GB2312" w:cs="Times New Roman"/>
          <w:color w:val="auto"/>
          <w:kern w:val="2"/>
          <w:sz w:val="28"/>
          <w:szCs w:val="28"/>
          <w:u w:val="none"/>
          <w:lang w:val="en-US" w:eastAsia="zh-CN" w:bidi="ar-SA"/>
        </w:rPr>
        <w:t>采购，欢迎符合资格条件的供应商参与</w:t>
      </w:r>
      <w:r>
        <w:rPr>
          <w:rFonts w:hint="eastAsia" w:ascii="仿宋_GB2312" w:eastAsia="仿宋_GB2312" w:cs="Times New Roman"/>
          <w:color w:val="auto"/>
          <w:kern w:val="2"/>
          <w:sz w:val="28"/>
          <w:szCs w:val="28"/>
          <w:u w:val="none"/>
          <w:lang w:val="en-US" w:eastAsia="zh-CN" w:bidi="ar-SA"/>
        </w:rPr>
        <w:t>磋商</w:t>
      </w:r>
      <w:r>
        <w:rPr>
          <w:rFonts w:hint="eastAsia" w:ascii="仿宋" w:hAnsi="仿宋" w:eastAsia="仿宋" w:cs="仿宋"/>
          <w:color w:val="auto"/>
          <w:sz w:val="28"/>
          <w:szCs w:val="28"/>
          <w:highlight w:val="none"/>
        </w:rPr>
        <w:t>。</w:t>
      </w:r>
    </w:p>
    <w:p w14:paraId="71A14A6E">
      <w:pPr>
        <w:keepNext w:val="0"/>
        <w:keepLines w:val="0"/>
        <w:pageBreakBefore w:val="0"/>
        <w:kinsoku/>
        <w:overflowPunct/>
        <w:topLinePunct w:val="0"/>
        <w:autoSpaceDE/>
        <w:autoSpaceDN/>
        <w:bidi w:val="0"/>
        <w:adjustRightInd/>
        <w:snapToGrid/>
        <w:spacing w:line="520" w:lineRule="exact"/>
        <w:ind w:firstLine="562" w:firstLineChars="200"/>
        <w:textAlignment w:val="auto"/>
        <w:rPr>
          <w:rFonts w:hint="default" w:ascii="仿宋" w:hAnsi="仿宋" w:eastAsia="仿宋"/>
          <w:b/>
          <w:color w:val="auto"/>
          <w:sz w:val="28"/>
          <w:szCs w:val="28"/>
          <w:highlight w:val="none"/>
          <w:lang w:val="en-US" w:eastAsia="zh-CN"/>
        </w:rPr>
      </w:pPr>
      <w:r>
        <w:rPr>
          <w:rFonts w:hint="eastAsia" w:ascii="仿宋" w:hAnsi="仿宋" w:eastAsia="仿宋"/>
          <w:b/>
          <w:bCs/>
          <w:color w:val="auto"/>
          <w:sz w:val="28"/>
          <w:szCs w:val="28"/>
          <w:highlight w:val="none"/>
          <w:lang w:val="en-US" w:eastAsia="zh-CN"/>
        </w:rPr>
        <w:t>一</w:t>
      </w:r>
      <w:r>
        <w:rPr>
          <w:rFonts w:hint="eastAsia" w:ascii="仿宋" w:hAnsi="仿宋" w:eastAsia="仿宋"/>
          <w:b/>
          <w:bCs/>
          <w:color w:val="auto"/>
          <w:sz w:val="28"/>
          <w:szCs w:val="28"/>
          <w:highlight w:val="none"/>
        </w:rPr>
        <w:t>、</w:t>
      </w:r>
      <w:r>
        <w:rPr>
          <w:rFonts w:hint="eastAsia" w:ascii="仿宋" w:hAnsi="仿宋" w:eastAsia="仿宋"/>
          <w:b/>
          <w:color w:val="auto"/>
          <w:sz w:val="28"/>
          <w:szCs w:val="28"/>
          <w:highlight w:val="none"/>
        </w:rPr>
        <w:t>项目名称：</w:t>
      </w:r>
      <w:r>
        <w:rPr>
          <w:rFonts w:hint="eastAsia" w:ascii="仿宋" w:hAnsi="仿宋" w:eastAsia="仿宋" w:cs="仿宋"/>
          <w:b/>
          <w:bCs/>
          <w:color w:val="auto"/>
          <w:sz w:val="28"/>
          <w:szCs w:val="28"/>
          <w:highlight w:val="none"/>
          <w:u w:val="single"/>
          <w:lang w:val="en-US" w:eastAsia="zh-CN"/>
        </w:rPr>
        <w:t>乐山苏稽新区工农路智慧停车场项目、乐山奥体中心部分功能提升项目选聘</w:t>
      </w:r>
      <w:bookmarkStart w:id="223" w:name="_GoBack"/>
      <w:bookmarkEnd w:id="223"/>
      <w:r>
        <w:rPr>
          <w:rFonts w:hint="eastAsia" w:ascii="仿宋" w:hAnsi="仿宋" w:eastAsia="仿宋" w:cs="仿宋"/>
          <w:b/>
          <w:bCs/>
          <w:color w:val="auto"/>
          <w:sz w:val="28"/>
          <w:szCs w:val="28"/>
          <w:highlight w:val="none"/>
          <w:u w:val="single"/>
          <w:lang w:val="en-US" w:eastAsia="zh-CN"/>
        </w:rPr>
        <w:t>第三方结算评审</w:t>
      </w:r>
      <w:r>
        <w:rPr>
          <w:rFonts w:hint="eastAsia" w:ascii="仿宋" w:hAnsi="仿宋" w:eastAsia="仿宋"/>
          <w:bCs/>
          <w:color w:val="auto"/>
          <w:sz w:val="28"/>
          <w:szCs w:val="28"/>
          <w:highlight w:val="none"/>
          <w:lang w:val="en-US" w:eastAsia="zh-CN"/>
        </w:rPr>
        <w:t>。</w:t>
      </w:r>
    </w:p>
    <w:p w14:paraId="1761CA2A">
      <w:pPr>
        <w:keepNext w:val="0"/>
        <w:keepLines w:val="0"/>
        <w:pageBreakBefore w:val="0"/>
        <w:widowControl w:val="0"/>
        <w:numPr>
          <w:ilvl w:val="0"/>
          <w:numId w:val="0"/>
        </w:numPr>
        <w:shd w:val="clear"/>
        <w:kinsoku/>
        <w:wordWrap/>
        <w:overflowPunct/>
        <w:topLinePunct w:val="0"/>
        <w:autoSpaceDE/>
        <w:autoSpaceDN/>
        <w:bidi w:val="0"/>
        <w:adjustRightInd/>
        <w:snapToGrid/>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二、资金情况：</w:t>
      </w:r>
    </w:p>
    <w:p w14:paraId="0FBF75FF">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560" w:firstLineChars="200"/>
        <w:jc w:val="both"/>
        <w:textAlignment w:val="auto"/>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资金来源：</w:t>
      </w:r>
      <w:r>
        <w:rPr>
          <w:rFonts w:hint="eastAsia" w:ascii="仿宋" w:hAnsi="仿宋" w:eastAsia="仿宋"/>
          <w:b/>
          <w:bCs/>
          <w:color w:val="auto"/>
          <w:sz w:val="28"/>
          <w:szCs w:val="28"/>
          <w:highlight w:val="none"/>
          <w:lang w:val="en-US" w:eastAsia="zh-CN"/>
        </w:rPr>
        <w:t>企业自筹</w:t>
      </w:r>
      <w:r>
        <w:rPr>
          <w:rFonts w:hint="eastAsia" w:ascii="仿宋" w:hAnsi="仿宋" w:eastAsia="仿宋"/>
          <w:color w:val="auto"/>
          <w:sz w:val="28"/>
          <w:szCs w:val="28"/>
          <w:highlight w:val="none"/>
          <w:lang w:val="en-US" w:eastAsia="zh-CN"/>
        </w:rPr>
        <w:t>，</w:t>
      </w:r>
      <w:r>
        <w:rPr>
          <w:rFonts w:hint="eastAsia" w:ascii="仿宋" w:hAnsi="仿宋" w:eastAsia="仿宋" w:cs="宋体"/>
          <w:b/>
          <w:bCs/>
          <w:color w:val="auto"/>
          <w:sz w:val="28"/>
          <w:szCs w:val="28"/>
          <w:highlight w:val="none"/>
          <w:lang w:val="en-US" w:eastAsia="zh-CN"/>
        </w:rPr>
        <w:t>最高总限价：150266.00元</w:t>
      </w:r>
    </w:p>
    <w:p w14:paraId="401A48AF">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包1：采购预算（最高限价）：141250.00元（其中基本审核费用控制价为84750.00元，效益审核费用控制价为56500.00元）。</w:t>
      </w:r>
    </w:p>
    <w:p w14:paraId="06B34D7A">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default"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包2：采购预算（最高限价）：9016.00元（其中基本审核费用控制价为5410.00元，效益审核费用控制价为3606.00元）。</w:t>
      </w:r>
    </w:p>
    <w:p w14:paraId="5A26B65D">
      <w:pPr>
        <w:keepNext w:val="0"/>
        <w:keepLines w:val="0"/>
        <w:pageBreakBefore w:val="0"/>
        <w:kinsoku/>
        <w:overflowPunct/>
        <w:topLinePunct w:val="0"/>
        <w:autoSpaceDE/>
        <w:autoSpaceDN/>
        <w:bidi w:val="0"/>
        <w:adjustRightInd/>
        <w:snapToGrid/>
        <w:spacing w:line="52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三、采购包数：</w:t>
      </w:r>
      <w:r>
        <w:rPr>
          <w:rFonts w:hint="eastAsia" w:ascii="仿宋" w:hAnsi="仿宋" w:eastAsia="仿宋"/>
          <w:b/>
          <w:bCs/>
          <w:color w:val="auto"/>
          <w:sz w:val="28"/>
          <w:szCs w:val="28"/>
          <w:highlight w:val="none"/>
        </w:rPr>
        <w:t>共</w:t>
      </w:r>
      <w:r>
        <w:rPr>
          <w:rFonts w:hint="eastAsia" w:ascii="Times New Roman" w:hAnsi="Times New Roman" w:eastAsia="仿宋" w:cs="Times New Roman"/>
          <w:b/>
          <w:bCs/>
          <w:color w:val="auto"/>
          <w:sz w:val="28"/>
          <w:szCs w:val="28"/>
          <w:highlight w:val="none"/>
          <w:u w:val="single"/>
          <w:lang w:val="en-US" w:eastAsia="zh-CN"/>
        </w:rPr>
        <w:t>2</w:t>
      </w:r>
      <w:r>
        <w:rPr>
          <w:rFonts w:hint="eastAsia" w:ascii="仿宋" w:hAnsi="仿宋" w:eastAsia="仿宋"/>
          <w:b/>
          <w:bCs/>
          <w:color w:val="auto"/>
          <w:sz w:val="28"/>
          <w:szCs w:val="28"/>
          <w:highlight w:val="none"/>
        </w:rPr>
        <w:t>包。</w:t>
      </w:r>
    </w:p>
    <w:p w14:paraId="38C79440">
      <w:pPr>
        <w:keepNext w:val="0"/>
        <w:keepLines w:val="0"/>
        <w:pageBreakBefore w:val="0"/>
        <w:kinsoku/>
        <w:overflowPunct/>
        <w:topLinePunct w:val="0"/>
        <w:autoSpaceDE/>
        <w:autoSpaceDN/>
        <w:bidi w:val="0"/>
        <w:adjustRightInd/>
        <w:snapToGrid/>
        <w:spacing w:line="520" w:lineRule="exact"/>
        <w:ind w:right="51" w:rightChars="15" w:firstLine="562" w:firstLineChars="200"/>
        <w:textAlignment w:val="auto"/>
        <w:rPr>
          <w:rFonts w:hint="eastAsia" w:ascii="仿宋" w:hAnsi="仿宋" w:eastAsia="仿宋" w:cs="Times New Roman"/>
          <w:b w:val="0"/>
          <w:bCs/>
          <w:color w:val="auto"/>
          <w:sz w:val="28"/>
          <w:szCs w:val="28"/>
          <w:highlight w:val="none"/>
          <w:lang w:val="en-US" w:eastAsia="zh-CN"/>
        </w:rPr>
      </w:pPr>
      <w:r>
        <w:rPr>
          <w:rFonts w:hint="eastAsia" w:ascii="仿宋" w:hAnsi="仿宋" w:eastAsia="仿宋"/>
          <w:b/>
          <w:color w:val="auto"/>
          <w:sz w:val="28"/>
          <w:szCs w:val="28"/>
          <w:highlight w:val="none"/>
          <w:lang w:val="en-US" w:eastAsia="zh-CN"/>
        </w:rPr>
        <w:t>四、</w:t>
      </w:r>
      <w:r>
        <w:rPr>
          <w:rFonts w:hint="eastAsia" w:ascii="仿宋" w:hAnsi="仿宋" w:eastAsia="仿宋"/>
          <w:b/>
          <w:color w:val="auto"/>
          <w:sz w:val="28"/>
          <w:szCs w:val="28"/>
          <w:highlight w:val="none"/>
        </w:rPr>
        <w:t>采购项目简介：</w:t>
      </w:r>
    </w:p>
    <w:p w14:paraId="68F2C3E7">
      <w:pPr>
        <w:keepNext w:val="0"/>
        <w:keepLines w:val="0"/>
        <w:pageBreakBefore w:val="0"/>
        <w:widowControl w:val="0"/>
        <w:numPr>
          <w:ilvl w:val="0"/>
          <w:numId w:val="0"/>
        </w:numPr>
        <w:shd w:val="clea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s="仿宋"/>
          <w:color w:val="auto"/>
          <w:sz w:val="28"/>
          <w:szCs w:val="28"/>
          <w:highlight w:val="none"/>
          <w:lang w:val="en-US" w:eastAsia="zh-CN"/>
        </w:rPr>
        <w:t>本项目为</w:t>
      </w:r>
      <w:r>
        <w:rPr>
          <w:rFonts w:hint="eastAsia" w:ascii="仿宋_GB2312" w:eastAsia="仿宋_GB2312" w:cs="Times New Roman"/>
          <w:color w:val="auto"/>
          <w:kern w:val="2"/>
          <w:sz w:val="28"/>
          <w:szCs w:val="28"/>
          <w:u w:val="none"/>
          <w:lang w:val="en-US" w:eastAsia="zh-CN" w:bidi="ar-SA"/>
        </w:rPr>
        <w:t>乐山苏稽新区工农路智慧停车场项目、乐山奥体中心部分功能提升项目</w:t>
      </w:r>
      <w:r>
        <w:rPr>
          <w:rFonts w:hint="eastAsia" w:ascii="仿宋" w:hAnsi="仿宋" w:eastAsia="仿宋" w:cs="仿宋"/>
          <w:color w:val="auto"/>
          <w:sz w:val="28"/>
          <w:szCs w:val="28"/>
          <w:highlight w:val="none"/>
          <w:lang w:val="en-US" w:eastAsia="zh-CN"/>
        </w:rPr>
        <w:t>结算评审服务项目；具体内容详见磋商文件第五章。</w:t>
      </w:r>
    </w:p>
    <w:p w14:paraId="20B215BC">
      <w:pPr>
        <w:keepNext w:val="0"/>
        <w:keepLines w:val="0"/>
        <w:pageBreakBefore w:val="0"/>
        <w:kinsoku/>
        <w:overflowPunct/>
        <w:topLinePunct w:val="0"/>
        <w:autoSpaceDE/>
        <w:autoSpaceDN/>
        <w:bidi w:val="0"/>
        <w:adjustRightInd/>
        <w:snapToGrid/>
        <w:spacing w:before="156" w:beforeLines="50" w:after="156" w:afterLines="50" w:line="52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、供应商参加本次采购活动应具备下列条件</w:t>
      </w:r>
    </w:p>
    <w:p w14:paraId="64E7225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具有独立承担民事责任的能力</w:t>
      </w:r>
      <w:r>
        <w:rPr>
          <w:rFonts w:hint="eastAsia" w:ascii="仿宋" w:hAnsi="仿宋" w:eastAsia="仿宋"/>
          <w:color w:val="auto"/>
          <w:sz w:val="28"/>
          <w:szCs w:val="28"/>
          <w:highlight w:val="none"/>
        </w:rPr>
        <w:t>；</w:t>
      </w:r>
    </w:p>
    <w:p w14:paraId="3EFEE7F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2、具有良好的商业信誉和健全的财务会计制度；</w:t>
      </w:r>
    </w:p>
    <w:p w14:paraId="689CC8F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3、具有履行合同所必需的设备和专业技术</w:t>
      </w:r>
      <w:r>
        <w:rPr>
          <w:rFonts w:hint="eastAsia" w:ascii="仿宋" w:hAnsi="仿宋" w:eastAsia="仿宋"/>
          <w:color w:val="auto"/>
          <w:sz w:val="28"/>
          <w:szCs w:val="28"/>
          <w:highlight w:val="none"/>
          <w:lang w:val="en-US" w:eastAsia="zh-CN"/>
        </w:rPr>
        <w:t>售后保障等能力</w:t>
      </w:r>
      <w:r>
        <w:rPr>
          <w:rFonts w:hint="eastAsia" w:ascii="仿宋" w:hAnsi="仿宋" w:eastAsia="仿宋"/>
          <w:color w:val="auto"/>
          <w:sz w:val="28"/>
          <w:szCs w:val="28"/>
          <w:highlight w:val="none"/>
        </w:rPr>
        <w:t>；</w:t>
      </w:r>
    </w:p>
    <w:p w14:paraId="4EBA3C2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4、有依法缴纳税收和社会保障资金的良好记录；</w:t>
      </w:r>
    </w:p>
    <w:p w14:paraId="6C72966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5、参加采购</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招投标等</w:t>
      </w:r>
      <w:r>
        <w:rPr>
          <w:rFonts w:hint="eastAsia" w:ascii="仿宋" w:hAnsi="仿宋" w:eastAsia="仿宋"/>
          <w:color w:val="auto"/>
          <w:sz w:val="28"/>
          <w:szCs w:val="28"/>
          <w:highlight w:val="none"/>
        </w:rPr>
        <w:t>活动前三年内，在经营活动中没有重大违法记录</w:t>
      </w:r>
      <w:r>
        <w:rPr>
          <w:rFonts w:hint="eastAsia" w:ascii="仿宋" w:hAnsi="仿宋" w:eastAsia="仿宋"/>
          <w:color w:val="auto"/>
          <w:sz w:val="28"/>
          <w:szCs w:val="28"/>
          <w:highlight w:val="none"/>
          <w:lang w:val="en-US" w:eastAsia="zh-CN"/>
        </w:rPr>
        <w:t>和行贿记录</w:t>
      </w:r>
      <w:r>
        <w:rPr>
          <w:rFonts w:hint="eastAsia" w:ascii="仿宋" w:hAnsi="仿宋" w:eastAsia="仿宋"/>
          <w:color w:val="auto"/>
          <w:sz w:val="28"/>
          <w:szCs w:val="28"/>
          <w:highlight w:val="none"/>
        </w:rPr>
        <w:t>；</w:t>
      </w:r>
    </w:p>
    <w:p w14:paraId="341755F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rPr>
        <w:t>6、</w:t>
      </w:r>
      <w:r>
        <w:rPr>
          <w:rFonts w:hint="eastAsia" w:ascii="仿宋" w:hAnsi="仿宋" w:eastAsia="仿宋"/>
          <w:color w:val="auto"/>
          <w:sz w:val="28"/>
          <w:szCs w:val="28"/>
          <w:highlight w:val="none"/>
          <w:lang w:val="en-US" w:eastAsia="zh-CN"/>
        </w:rPr>
        <w:t>未被列入采购平台诚信评价体系或黑名单；</w:t>
      </w:r>
    </w:p>
    <w:p w14:paraId="0BDB65B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w:t>
      </w:r>
      <w:r>
        <w:rPr>
          <w:rFonts w:hint="eastAsia" w:ascii="仿宋" w:hAnsi="仿宋" w:eastAsia="仿宋"/>
          <w:color w:val="auto"/>
          <w:sz w:val="28"/>
          <w:szCs w:val="28"/>
          <w:highlight w:val="none"/>
        </w:rPr>
        <w:t>法律、行政法规规定的其他条件；</w:t>
      </w:r>
    </w:p>
    <w:p w14:paraId="458FA32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default"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8</w:t>
      </w:r>
      <w:r>
        <w:rPr>
          <w:rFonts w:hint="eastAsia" w:ascii="仿宋" w:hAnsi="仿宋" w:eastAsia="仿宋"/>
          <w:b/>
          <w:bCs/>
          <w:color w:val="auto"/>
          <w:sz w:val="28"/>
          <w:szCs w:val="28"/>
          <w:highlight w:val="none"/>
        </w:rPr>
        <w:t>、本项目</w:t>
      </w:r>
      <w:r>
        <w:rPr>
          <w:rFonts w:hint="eastAsia" w:ascii="仿宋" w:hAnsi="仿宋" w:eastAsia="仿宋"/>
          <w:b/>
          <w:bCs/>
          <w:color w:val="auto"/>
          <w:sz w:val="28"/>
          <w:szCs w:val="28"/>
          <w:highlight w:val="none"/>
          <w:lang w:val="en-US" w:eastAsia="zh-CN"/>
        </w:rPr>
        <w:t>的</w:t>
      </w:r>
      <w:r>
        <w:rPr>
          <w:rFonts w:hint="eastAsia" w:ascii="仿宋" w:hAnsi="仿宋" w:eastAsia="仿宋"/>
          <w:b/>
          <w:bCs/>
          <w:color w:val="auto"/>
          <w:sz w:val="28"/>
          <w:szCs w:val="28"/>
          <w:highlight w:val="none"/>
        </w:rPr>
        <w:t>特</w:t>
      </w:r>
      <w:r>
        <w:rPr>
          <w:rFonts w:hint="eastAsia" w:ascii="仿宋" w:hAnsi="仿宋" w:eastAsia="仿宋"/>
          <w:b/>
          <w:bCs/>
          <w:color w:val="auto"/>
          <w:sz w:val="28"/>
          <w:szCs w:val="28"/>
          <w:highlight w:val="none"/>
          <w:lang w:val="en-US" w:eastAsia="zh-CN"/>
        </w:rPr>
        <w:t>定资格要求</w:t>
      </w:r>
      <w:r>
        <w:rPr>
          <w:rFonts w:hint="eastAsia" w:ascii="仿宋" w:hAnsi="仿宋" w:eastAsia="仿宋"/>
          <w:b/>
          <w:bCs/>
          <w:color w:val="auto"/>
          <w:sz w:val="28"/>
          <w:szCs w:val="28"/>
          <w:highlight w:val="none"/>
        </w:rPr>
        <w:t>：</w:t>
      </w:r>
      <w:r>
        <w:rPr>
          <w:rFonts w:hint="eastAsia" w:ascii="宋体" w:hAnsi="宋体" w:eastAsia="宋体" w:cs="宋体"/>
          <w:b/>
          <w:bCs/>
          <w:color w:val="auto"/>
          <w:sz w:val="28"/>
          <w:szCs w:val="28"/>
          <w:highlight w:val="none"/>
          <w:lang w:val="en-US" w:eastAsia="zh-CN"/>
        </w:rPr>
        <w:t>无</w:t>
      </w:r>
      <w:r>
        <w:rPr>
          <w:rFonts w:hint="eastAsia" w:ascii="Times New Roman" w:hAnsi="Times New Roman" w:eastAsia="仿宋" w:cs="Times New Roman"/>
          <w:b/>
          <w:bCs/>
          <w:color w:val="auto"/>
          <w:sz w:val="28"/>
          <w:szCs w:val="28"/>
          <w:highlight w:val="none"/>
          <w:lang w:val="en-US" w:eastAsia="zh-CN"/>
        </w:rPr>
        <w:t>。</w:t>
      </w:r>
    </w:p>
    <w:p w14:paraId="1EFFBAF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9</w:t>
      </w:r>
      <w:r>
        <w:rPr>
          <w:rFonts w:hint="eastAsia" w:ascii="仿宋" w:hAnsi="仿宋" w:eastAsia="仿宋"/>
          <w:color w:val="auto"/>
          <w:sz w:val="28"/>
          <w:szCs w:val="28"/>
          <w:highlight w:val="none"/>
        </w:rPr>
        <w:t>、本次采购</w:t>
      </w:r>
      <w:r>
        <w:rPr>
          <w:rFonts w:hint="eastAsia" w:ascii="仿宋" w:hAnsi="仿宋" w:eastAsia="仿宋"/>
          <w:color w:val="auto"/>
          <w:sz w:val="28"/>
          <w:szCs w:val="28"/>
          <w:highlight w:val="none"/>
          <w:lang w:val="en-US" w:eastAsia="zh-CN"/>
        </w:rPr>
        <w:t>不</w:t>
      </w:r>
      <w:r>
        <w:rPr>
          <w:rFonts w:hint="eastAsia" w:ascii="仿宋" w:hAnsi="仿宋" w:eastAsia="仿宋"/>
          <w:color w:val="auto"/>
          <w:sz w:val="28"/>
          <w:szCs w:val="28"/>
          <w:highlight w:val="none"/>
        </w:rPr>
        <w:t>接受联合体参加。</w:t>
      </w:r>
    </w:p>
    <w:p w14:paraId="601B1C42">
      <w:pPr>
        <w:keepNext w:val="0"/>
        <w:keepLines w:val="0"/>
        <w:pageBreakBefore w:val="0"/>
        <w:kinsoku/>
        <w:overflowPunct/>
        <w:topLinePunct w:val="0"/>
        <w:autoSpaceDE/>
        <w:autoSpaceDN/>
        <w:bidi w:val="0"/>
        <w:adjustRightInd/>
        <w:snapToGrid/>
        <w:spacing w:before="156" w:beforeLines="50" w:after="156" w:afterLines="50"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六、报名方式、时间、地点：</w:t>
      </w:r>
    </w:p>
    <w:p w14:paraId="3BF093C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一</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磋商</w:t>
      </w:r>
      <w:r>
        <w:rPr>
          <w:rFonts w:hint="eastAsia" w:ascii="仿宋_GB2312" w:hAnsi="仿宋_GB2312" w:eastAsia="仿宋_GB2312" w:cs="仿宋_GB2312"/>
          <w:color w:val="auto"/>
          <w:sz w:val="28"/>
          <w:szCs w:val="28"/>
          <w:highlight w:val="none"/>
          <w:lang w:eastAsia="zh-CN"/>
        </w:rPr>
        <w:t>文件自</w:t>
      </w:r>
      <w:r>
        <w:rPr>
          <w:rFonts w:hint="eastAsia" w:ascii="仿宋_GB2312" w:hAnsi="仿宋_GB2312" w:eastAsia="仿宋_GB2312" w:cs="仿宋_GB2312"/>
          <w:color w:val="auto"/>
          <w:sz w:val="28"/>
          <w:szCs w:val="28"/>
          <w:highlight w:val="none"/>
          <w:lang w:val="en-US" w:eastAsia="zh-CN"/>
        </w:rPr>
        <w:t>2026</w:t>
      </w:r>
      <w:r>
        <w:rPr>
          <w:rFonts w:hint="eastAsia" w:ascii="仿宋_GB2312" w:hAnsi="仿宋_GB2312" w:eastAsia="仿宋_GB2312" w:cs="仿宋_GB2312"/>
          <w:color w:val="auto"/>
          <w:sz w:val="28"/>
          <w:szCs w:val="28"/>
          <w:highlight w:val="none"/>
          <w:lang w:eastAsia="zh-CN"/>
        </w:rPr>
        <w:t>年</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月</w:t>
      </w: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lang w:eastAsia="zh-CN"/>
        </w:rPr>
        <w:t>日至</w:t>
      </w:r>
      <w:r>
        <w:rPr>
          <w:rFonts w:hint="eastAsia" w:ascii="仿宋_GB2312" w:hAnsi="仿宋_GB2312" w:eastAsia="仿宋_GB2312" w:cs="仿宋_GB2312"/>
          <w:color w:val="auto"/>
          <w:sz w:val="28"/>
          <w:szCs w:val="28"/>
          <w:highlight w:val="none"/>
          <w:lang w:val="en-US" w:eastAsia="zh-CN"/>
        </w:rPr>
        <w:t>2026</w:t>
      </w:r>
      <w:r>
        <w:rPr>
          <w:rFonts w:hint="eastAsia" w:ascii="仿宋_GB2312" w:hAnsi="仿宋_GB2312" w:eastAsia="仿宋_GB2312" w:cs="仿宋_GB2312"/>
          <w:color w:val="auto"/>
          <w:sz w:val="28"/>
          <w:szCs w:val="28"/>
          <w:highlight w:val="none"/>
          <w:lang w:eastAsia="zh-CN"/>
        </w:rPr>
        <w:t>年</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月</w:t>
      </w:r>
      <w:r>
        <w:rPr>
          <w:rFonts w:hint="eastAsia" w:ascii="仿宋_GB2312" w:hAnsi="仿宋_GB2312" w:eastAsia="仿宋_GB2312" w:cs="仿宋_GB2312"/>
          <w:color w:val="auto"/>
          <w:sz w:val="28"/>
          <w:szCs w:val="28"/>
          <w:highlight w:val="none"/>
          <w:lang w:val="en-US" w:eastAsia="zh-CN"/>
        </w:rPr>
        <w:t>30</w:t>
      </w:r>
      <w:r>
        <w:rPr>
          <w:rFonts w:hint="eastAsia" w:ascii="仿宋_GB2312" w:hAnsi="仿宋_GB2312" w:eastAsia="仿宋_GB2312" w:cs="仿宋_GB2312"/>
          <w:color w:val="auto"/>
          <w:sz w:val="28"/>
          <w:szCs w:val="28"/>
          <w:highlight w:val="none"/>
          <w:lang w:eastAsia="zh-CN"/>
        </w:rPr>
        <w:t>日09:00- 17:00（北京时间，法定节假日除外）在</w:t>
      </w:r>
      <w:bookmarkStart w:id="7" w:name="_Hlk17791646"/>
      <w:r>
        <w:rPr>
          <w:rFonts w:hint="eastAsia" w:ascii="仿宋_GB2312" w:hAnsi="仿宋_GB2312" w:eastAsia="仿宋_GB2312" w:cs="仿宋_GB2312"/>
          <w:color w:val="auto"/>
          <w:sz w:val="28"/>
          <w:szCs w:val="28"/>
          <w:highlight w:val="none"/>
          <w:lang w:eastAsia="zh-CN"/>
        </w:rPr>
        <w:t>乐山市市中区</w:t>
      </w:r>
      <w:bookmarkEnd w:id="7"/>
      <w:r>
        <w:rPr>
          <w:rFonts w:hint="eastAsia" w:ascii="仿宋_GB2312" w:hAnsi="仿宋_GB2312" w:eastAsia="仿宋_GB2312" w:cs="仿宋_GB2312"/>
          <w:color w:val="auto"/>
          <w:sz w:val="28"/>
          <w:szCs w:val="28"/>
          <w:highlight w:val="none"/>
          <w:lang w:val="en-US" w:eastAsia="zh-CN"/>
        </w:rPr>
        <w:t>奥体中心西门3楼</w:t>
      </w:r>
      <w:r>
        <w:rPr>
          <w:rFonts w:hint="eastAsia" w:ascii="仿宋_GB2312" w:hAnsi="仿宋_GB2312" w:eastAsia="仿宋_GB2312" w:cs="仿宋_GB2312"/>
          <w:color w:val="auto"/>
          <w:sz w:val="28"/>
          <w:szCs w:val="28"/>
          <w:highlight w:val="none"/>
          <w:lang w:eastAsia="zh-CN"/>
        </w:rPr>
        <w:t>获取。</w:t>
      </w:r>
    </w:p>
    <w:p w14:paraId="76813F1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）本项目谈判文件售价：人民币</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lang w:eastAsia="zh-CN"/>
        </w:rPr>
        <w:t>元/份（资格不能转让）。</w:t>
      </w:r>
    </w:p>
    <w:p w14:paraId="1A79EE9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lang w:eastAsia="zh-CN"/>
        </w:rPr>
        <w:t>）获取文件时，经办人员当场提交以下资料：供应商为法人或者其他组织的，只需提供单位介绍信、经办人身份证明；供应商为自然人的，只需提供本人身份证明。</w:t>
      </w:r>
    </w:p>
    <w:p w14:paraId="6250E721">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b w:val="0"/>
          <w:bCs w:val="0"/>
          <w:color w:val="auto"/>
          <w:sz w:val="28"/>
          <w:szCs w:val="28"/>
          <w:highlight w:val="none"/>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lang w:eastAsia="zh-CN"/>
        </w:rPr>
        <w:t>）供应商应在规定的时间内到指定地点获取本文件，并登记备案，如在规定时间内未领取文件并登记备案的供应商均无资格参加该项目的</w:t>
      </w:r>
      <w:r>
        <w:rPr>
          <w:rFonts w:hint="eastAsia" w:ascii="仿宋_GB2312" w:hAnsi="仿宋_GB2312" w:eastAsia="仿宋_GB2312" w:cs="仿宋_GB2312"/>
          <w:color w:val="auto"/>
          <w:sz w:val="28"/>
          <w:szCs w:val="28"/>
          <w:lang w:val="en-US" w:eastAsia="zh-CN"/>
        </w:rPr>
        <w:t>磋商</w:t>
      </w:r>
      <w:r>
        <w:rPr>
          <w:rFonts w:hint="eastAsia" w:ascii="仿宋_GB2312" w:hAnsi="仿宋_GB2312" w:eastAsia="仿宋_GB2312" w:cs="仿宋_GB2312"/>
          <w:color w:val="auto"/>
          <w:sz w:val="28"/>
          <w:szCs w:val="28"/>
          <w:lang w:eastAsia="zh-CN"/>
        </w:rPr>
        <w:t>。</w:t>
      </w:r>
    </w:p>
    <w:p w14:paraId="1E81910C">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响应文件提交截止时间及磋商时间、地点、方式</w:t>
      </w:r>
    </w:p>
    <w:p w14:paraId="4376F311">
      <w:pPr>
        <w:keepNext w:val="0"/>
        <w:keepLines w:val="0"/>
        <w:pageBreakBefore w:val="0"/>
        <w:widowControl w:val="0"/>
        <w:kinsoku/>
        <w:wordWrap/>
        <w:overflowPunct/>
        <w:topLinePunct w:val="0"/>
        <w:autoSpaceDE/>
        <w:autoSpaceDN/>
        <w:bidi w:val="0"/>
        <w:adjustRightInd/>
        <w:snapToGrid/>
        <w:spacing w:line="520" w:lineRule="exact"/>
        <w:ind w:firstLine="420" w:firstLineChars="150"/>
        <w:textAlignment w:val="auto"/>
        <w:rPr>
          <w:rFonts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一）响应</w:t>
      </w:r>
      <w:r>
        <w:rPr>
          <w:rFonts w:hint="eastAsia" w:ascii="仿宋" w:hAnsi="仿宋" w:eastAsia="仿宋" w:cs="仿宋"/>
          <w:b w:val="0"/>
          <w:bCs w:val="0"/>
          <w:color w:val="auto"/>
          <w:sz w:val="28"/>
          <w:szCs w:val="28"/>
          <w:highlight w:val="none"/>
        </w:rPr>
        <w:t>文件递交截止时间：</w:t>
      </w:r>
      <w:r>
        <w:rPr>
          <w:rFonts w:hint="eastAsia" w:ascii="仿宋" w:hAnsi="仿宋" w:eastAsia="仿宋" w:cs="仿宋"/>
          <w:b/>
          <w:bCs/>
          <w:color w:val="auto"/>
          <w:sz w:val="28"/>
          <w:szCs w:val="28"/>
          <w:highlight w:val="none"/>
          <w:u w:val="single"/>
          <w:lang w:val="en-US" w:eastAsia="zh-CN"/>
        </w:rPr>
        <w:t>2026</w:t>
      </w:r>
      <w:r>
        <w:rPr>
          <w:rFonts w:hint="eastAsia" w:ascii="仿宋" w:hAnsi="仿宋" w:eastAsia="仿宋" w:cs="仿宋"/>
          <w:b/>
          <w:bCs/>
          <w:color w:val="auto"/>
          <w:sz w:val="28"/>
          <w:szCs w:val="28"/>
          <w:highlight w:val="none"/>
        </w:rPr>
        <w:t>年</w:t>
      </w:r>
      <w:r>
        <w:rPr>
          <w:rFonts w:hint="eastAsia" w:ascii="仿宋" w:hAnsi="仿宋" w:eastAsia="仿宋" w:cs="仿宋"/>
          <w:b/>
          <w:bCs/>
          <w:color w:val="auto"/>
          <w:sz w:val="28"/>
          <w:szCs w:val="28"/>
          <w:highlight w:val="none"/>
          <w:u w:val="single"/>
          <w:lang w:val="en-US" w:eastAsia="zh-CN"/>
        </w:rPr>
        <w:t>5</w:t>
      </w:r>
      <w:r>
        <w:rPr>
          <w:rFonts w:hint="eastAsia" w:ascii="仿宋" w:hAnsi="仿宋" w:eastAsia="仿宋" w:cs="仿宋"/>
          <w:b/>
          <w:bCs/>
          <w:color w:val="auto"/>
          <w:sz w:val="28"/>
          <w:szCs w:val="28"/>
          <w:highlight w:val="none"/>
        </w:rPr>
        <w:t>月</w:t>
      </w:r>
      <w:r>
        <w:rPr>
          <w:rFonts w:hint="eastAsia" w:ascii="仿宋" w:hAnsi="仿宋" w:eastAsia="仿宋" w:cs="仿宋"/>
          <w:b/>
          <w:bCs/>
          <w:color w:val="auto"/>
          <w:sz w:val="28"/>
          <w:szCs w:val="28"/>
          <w:highlight w:val="none"/>
          <w:u w:val="single"/>
          <w:lang w:val="en-US" w:eastAsia="zh-CN"/>
        </w:rPr>
        <w:t xml:space="preserve"> 6 </w:t>
      </w:r>
      <w:r>
        <w:rPr>
          <w:rFonts w:hint="eastAsia" w:ascii="仿宋" w:hAnsi="仿宋" w:eastAsia="仿宋" w:cs="仿宋"/>
          <w:b/>
          <w:bCs/>
          <w:color w:val="auto"/>
          <w:sz w:val="28"/>
          <w:szCs w:val="28"/>
          <w:highlight w:val="none"/>
        </w:rPr>
        <w:t>日</w:t>
      </w:r>
      <w:r>
        <w:rPr>
          <w:rFonts w:hint="eastAsia" w:ascii="仿宋" w:hAnsi="仿宋" w:eastAsia="仿宋" w:cs="仿宋"/>
          <w:b/>
          <w:bCs/>
          <w:color w:val="auto"/>
          <w:sz w:val="28"/>
          <w:szCs w:val="28"/>
          <w:highlight w:val="none"/>
          <w:u w:val="single"/>
          <w:lang w:val="en-US" w:eastAsia="zh-CN"/>
        </w:rPr>
        <w:t>9</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u w:val="single"/>
          <w:lang w:val="en-US" w:eastAsia="zh-CN"/>
        </w:rPr>
        <w:t>40</w:t>
      </w:r>
      <w:r>
        <w:rPr>
          <w:rFonts w:hint="eastAsia" w:ascii="仿宋" w:hAnsi="仿宋" w:eastAsia="仿宋" w:cs="仿宋"/>
          <w:b w:val="0"/>
          <w:bCs w:val="0"/>
          <w:color w:val="auto"/>
          <w:sz w:val="28"/>
          <w:szCs w:val="28"/>
          <w:highlight w:val="none"/>
        </w:rPr>
        <w:t>（北京时间）。</w:t>
      </w:r>
    </w:p>
    <w:p w14:paraId="109A89F8">
      <w:pPr>
        <w:keepNext w:val="0"/>
        <w:keepLines w:val="0"/>
        <w:pageBreakBefore w:val="0"/>
        <w:widowControl w:val="0"/>
        <w:kinsoku/>
        <w:wordWrap/>
        <w:overflowPunct/>
        <w:topLinePunct w:val="0"/>
        <w:autoSpaceDE/>
        <w:autoSpaceDN/>
        <w:bidi w:val="0"/>
        <w:adjustRightInd/>
        <w:snapToGrid/>
        <w:spacing w:line="520" w:lineRule="exact"/>
        <w:ind w:firstLine="420" w:firstLineChars="150"/>
        <w:textAlignment w:val="auto"/>
        <w:rPr>
          <w:rFonts w:ascii="仿宋" w:hAnsi="仿宋" w:eastAsia="仿宋"/>
          <w:b w:val="0"/>
          <w:bCs w:val="0"/>
          <w:color w:val="auto"/>
          <w:sz w:val="28"/>
          <w:szCs w:val="28"/>
          <w:highlight w:val="none"/>
        </w:rPr>
      </w:pPr>
      <w:r>
        <w:rPr>
          <w:rFonts w:hint="eastAsia" w:ascii="仿宋" w:hAnsi="仿宋" w:eastAsia="仿宋"/>
          <w:b w:val="0"/>
          <w:bCs w:val="0"/>
          <w:color w:val="auto"/>
          <w:sz w:val="28"/>
          <w:szCs w:val="28"/>
          <w:highlight w:val="none"/>
          <w:lang w:val="en-US" w:eastAsia="zh-CN"/>
        </w:rPr>
        <w:t>（二）响应文件提交方式、地点：供应商</w:t>
      </w:r>
      <w:r>
        <w:rPr>
          <w:rFonts w:hint="eastAsia" w:ascii="仿宋" w:hAnsi="仿宋" w:eastAsia="仿宋"/>
          <w:b w:val="0"/>
          <w:bCs w:val="0"/>
          <w:color w:val="auto"/>
          <w:sz w:val="28"/>
          <w:szCs w:val="28"/>
          <w:highlight w:val="none"/>
        </w:rPr>
        <w:t>应当在</w:t>
      </w:r>
      <w:r>
        <w:rPr>
          <w:rFonts w:hint="eastAsia" w:ascii="仿宋" w:hAnsi="仿宋" w:eastAsia="仿宋"/>
          <w:b w:val="0"/>
          <w:bCs w:val="0"/>
          <w:color w:val="auto"/>
          <w:sz w:val="28"/>
          <w:szCs w:val="28"/>
          <w:highlight w:val="none"/>
          <w:lang w:val="en-US" w:eastAsia="zh-CN"/>
        </w:rPr>
        <w:t>响应</w:t>
      </w:r>
      <w:r>
        <w:rPr>
          <w:rFonts w:hint="eastAsia" w:ascii="仿宋" w:hAnsi="仿宋" w:eastAsia="仿宋"/>
          <w:b w:val="0"/>
          <w:bCs w:val="0"/>
          <w:color w:val="auto"/>
          <w:sz w:val="28"/>
          <w:szCs w:val="28"/>
          <w:highlight w:val="none"/>
        </w:rPr>
        <w:t>文件提交截止时间前，</w:t>
      </w:r>
      <w:r>
        <w:rPr>
          <w:rFonts w:hint="eastAsia" w:ascii="仿宋" w:hAnsi="仿宋" w:eastAsia="仿宋"/>
          <w:b w:val="0"/>
          <w:bCs w:val="0"/>
          <w:color w:val="auto"/>
          <w:sz w:val="28"/>
          <w:szCs w:val="28"/>
          <w:highlight w:val="none"/>
          <w:lang w:val="en-US" w:eastAsia="zh-CN"/>
        </w:rPr>
        <w:t>送达乐</w:t>
      </w:r>
      <w:r>
        <w:rPr>
          <w:rFonts w:hint="eastAsia" w:ascii="仿宋_GB2312" w:hAnsi="仿宋_GB2312" w:eastAsia="仿宋_GB2312" w:cs="仿宋_GB2312"/>
          <w:color w:val="auto"/>
          <w:sz w:val="28"/>
          <w:szCs w:val="28"/>
          <w:highlight w:val="none"/>
          <w:lang w:eastAsia="zh-CN"/>
        </w:rPr>
        <w:t>山市市中区</w:t>
      </w:r>
      <w:r>
        <w:rPr>
          <w:rFonts w:hint="eastAsia" w:ascii="仿宋_GB2312" w:hAnsi="仿宋_GB2312" w:eastAsia="仿宋_GB2312" w:cs="仿宋_GB2312"/>
          <w:color w:val="auto"/>
          <w:sz w:val="28"/>
          <w:szCs w:val="28"/>
          <w:highlight w:val="none"/>
          <w:lang w:val="en-US" w:eastAsia="zh-CN"/>
        </w:rPr>
        <w:t>奥体中心西门1楼105会议室</w:t>
      </w:r>
      <w:r>
        <w:rPr>
          <w:rFonts w:hint="eastAsia" w:ascii="仿宋" w:hAnsi="仿宋" w:eastAsia="仿宋"/>
          <w:b w:val="0"/>
          <w:bCs w:val="0"/>
          <w:color w:val="auto"/>
          <w:sz w:val="28"/>
          <w:szCs w:val="28"/>
          <w:highlight w:val="none"/>
        </w:rPr>
        <w:t>。</w:t>
      </w:r>
    </w:p>
    <w:p w14:paraId="2660C437">
      <w:pPr>
        <w:keepNext w:val="0"/>
        <w:keepLines w:val="0"/>
        <w:pageBreakBefore w:val="0"/>
        <w:widowControl w:val="0"/>
        <w:kinsoku/>
        <w:wordWrap/>
        <w:overflowPunct/>
        <w:topLinePunct w:val="0"/>
        <w:autoSpaceDE/>
        <w:autoSpaceDN/>
        <w:bidi w:val="0"/>
        <w:adjustRightInd/>
        <w:snapToGrid/>
        <w:spacing w:line="520" w:lineRule="exact"/>
        <w:ind w:firstLine="420" w:firstLineChars="150"/>
        <w:textAlignment w:val="auto"/>
        <w:rPr>
          <w:rFonts w:hint="eastAsia" w:ascii="仿宋" w:hAnsi="仿宋" w:eastAsia="仿宋"/>
          <w:b w:val="0"/>
          <w:bCs w:val="0"/>
          <w:color w:val="auto"/>
          <w:sz w:val="28"/>
          <w:szCs w:val="28"/>
          <w:highlight w:val="none"/>
        </w:rPr>
      </w:pPr>
      <w:r>
        <w:rPr>
          <w:rFonts w:hint="eastAsia" w:ascii="仿宋" w:hAnsi="仿宋" w:eastAsia="仿宋"/>
          <w:b w:val="0"/>
          <w:bCs w:val="0"/>
          <w:color w:val="auto"/>
          <w:sz w:val="28"/>
          <w:szCs w:val="28"/>
          <w:highlight w:val="none"/>
          <w:lang w:eastAsia="zh-CN"/>
        </w:rPr>
        <w:t>（</w:t>
      </w:r>
      <w:r>
        <w:rPr>
          <w:rFonts w:hint="eastAsia" w:ascii="仿宋" w:hAnsi="仿宋" w:eastAsia="仿宋"/>
          <w:b w:val="0"/>
          <w:bCs w:val="0"/>
          <w:color w:val="auto"/>
          <w:sz w:val="28"/>
          <w:szCs w:val="28"/>
          <w:highlight w:val="none"/>
          <w:lang w:val="en-US" w:eastAsia="zh-CN"/>
        </w:rPr>
        <w:t>三）</w:t>
      </w:r>
      <w:r>
        <w:rPr>
          <w:rFonts w:hint="eastAsia" w:ascii="仿宋" w:hAnsi="仿宋" w:eastAsia="仿宋"/>
          <w:b/>
          <w:bCs/>
          <w:color w:val="auto"/>
          <w:sz w:val="28"/>
          <w:szCs w:val="28"/>
          <w:highlight w:val="none"/>
          <w:lang w:val="en-US" w:eastAsia="zh-CN"/>
        </w:rPr>
        <w:t>磋商</w:t>
      </w:r>
      <w:r>
        <w:rPr>
          <w:rFonts w:hint="eastAsia" w:ascii="仿宋" w:hAnsi="仿宋" w:eastAsia="仿宋"/>
          <w:b/>
          <w:bCs/>
          <w:color w:val="auto"/>
          <w:sz w:val="28"/>
          <w:szCs w:val="28"/>
          <w:highlight w:val="none"/>
        </w:rPr>
        <w:t>时间：</w:t>
      </w:r>
      <w:r>
        <w:rPr>
          <w:rFonts w:hint="eastAsia" w:ascii="仿宋" w:hAnsi="仿宋" w:eastAsia="仿宋" w:cs="仿宋"/>
          <w:b/>
          <w:bCs/>
          <w:color w:val="auto"/>
          <w:sz w:val="28"/>
          <w:szCs w:val="28"/>
          <w:highlight w:val="none"/>
          <w:u w:val="single"/>
          <w:lang w:val="en-US" w:eastAsia="zh-CN"/>
        </w:rPr>
        <w:t>2026</w:t>
      </w:r>
      <w:r>
        <w:rPr>
          <w:rFonts w:hint="eastAsia" w:ascii="仿宋" w:hAnsi="仿宋" w:eastAsia="仿宋" w:cs="仿宋"/>
          <w:b/>
          <w:bCs/>
          <w:color w:val="auto"/>
          <w:sz w:val="28"/>
          <w:szCs w:val="28"/>
          <w:highlight w:val="none"/>
        </w:rPr>
        <w:t>年</w:t>
      </w:r>
      <w:r>
        <w:rPr>
          <w:rFonts w:hint="eastAsia" w:ascii="仿宋" w:hAnsi="仿宋" w:eastAsia="仿宋" w:cs="仿宋"/>
          <w:b/>
          <w:bCs/>
          <w:color w:val="auto"/>
          <w:sz w:val="28"/>
          <w:szCs w:val="28"/>
          <w:highlight w:val="none"/>
          <w:u w:val="single"/>
          <w:lang w:val="en-US" w:eastAsia="zh-CN"/>
        </w:rPr>
        <w:t>5</w:t>
      </w:r>
      <w:r>
        <w:rPr>
          <w:rFonts w:hint="eastAsia" w:ascii="仿宋" w:hAnsi="仿宋" w:eastAsia="仿宋" w:cs="仿宋"/>
          <w:b/>
          <w:bCs/>
          <w:color w:val="auto"/>
          <w:sz w:val="28"/>
          <w:szCs w:val="28"/>
          <w:highlight w:val="none"/>
        </w:rPr>
        <w:t>月</w:t>
      </w:r>
      <w:r>
        <w:rPr>
          <w:rFonts w:hint="eastAsia" w:ascii="仿宋" w:hAnsi="仿宋" w:eastAsia="仿宋" w:cs="仿宋"/>
          <w:b/>
          <w:bCs/>
          <w:color w:val="auto"/>
          <w:sz w:val="28"/>
          <w:szCs w:val="28"/>
          <w:highlight w:val="none"/>
          <w:u w:val="single"/>
          <w:lang w:val="en-US" w:eastAsia="zh-CN"/>
        </w:rPr>
        <w:t xml:space="preserve"> 6 </w:t>
      </w:r>
      <w:r>
        <w:rPr>
          <w:rFonts w:hint="eastAsia" w:ascii="仿宋" w:hAnsi="仿宋" w:eastAsia="仿宋" w:cs="仿宋"/>
          <w:b/>
          <w:bCs/>
          <w:color w:val="auto"/>
          <w:sz w:val="28"/>
          <w:szCs w:val="28"/>
          <w:highlight w:val="none"/>
        </w:rPr>
        <w:t>日</w:t>
      </w:r>
      <w:r>
        <w:rPr>
          <w:rFonts w:hint="eastAsia" w:ascii="仿宋" w:hAnsi="仿宋" w:eastAsia="仿宋" w:cs="仿宋"/>
          <w:b/>
          <w:bCs/>
          <w:color w:val="auto"/>
          <w:sz w:val="28"/>
          <w:szCs w:val="28"/>
          <w:highlight w:val="none"/>
          <w:u w:val="single"/>
          <w:lang w:val="en-US" w:eastAsia="zh-CN"/>
        </w:rPr>
        <w:t>9</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u w:val="single"/>
          <w:lang w:val="en-US" w:eastAsia="zh-CN"/>
        </w:rPr>
        <w:t>40</w:t>
      </w:r>
      <w:r>
        <w:rPr>
          <w:rFonts w:hint="eastAsia" w:ascii="仿宋" w:hAnsi="仿宋" w:eastAsia="仿宋" w:cs="仿宋"/>
          <w:b/>
          <w:bCs/>
          <w:color w:val="auto"/>
          <w:sz w:val="28"/>
          <w:szCs w:val="28"/>
          <w:highlight w:val="none"/>
        </w:rPr>
        <w:t>（</w:t>
      </w:r>
      <w:r>
        <w:rPr>
          <w:rFonts w:hint="eastAsia" w:ascii="仿宋" w:hAnsi="仿宋" w:eastAsia="仿宋"/>
          <w:b/>
          <w:bCs/>
          <w:color w:val="auto"/>
          <w:sz w:val="28"/>
          <w:szCs w:val="28"/>
          <w:highlight w:val="none"/>
        </w:rPr>
        <w:t>北京时间）</w:t>
      </w:r>
      <w:r>
        <w:rPr>
          <w:rFonts w:hint="eastAsia" w:ascii="仿宋" w:hAnsi="仿宋" w:eastAsia="仿宋"/>
          <w:b w:val="0"/>
          <w:bCs w:val="0"/>
          <w:color w:val="auto"/>
          <w:sz w:val="28"/>
          <w:szCs w:val="28"/>
          <w:highlight w:val="none"/>
        </w:rPr>
        <w:t>。</w:t>
      </w:r>
    </w:p>
    <w:p w14:paraId="75CA2930">
      <w:pPr>
        <w:keepNext w:val="0"/>
        <w:keepLines w:val="0"/>
        <w:pageBreakBefore w:val="0"/>
        <w:widowControl w:val="0"/>
        <w:shd w:val="clear"/>
        <w:kinsoku/>
        <w:wordWrap/>
        <w:overflowPunct/>
        <w:topLinePunct w:val="0"/>
        <w:autoSpaceDE/>
        <w:autoSpaceDN/>
        <w:bidi w:val="0"/>
        <w:adjustRightInd/>
        <w:snapToGrid/>
        <w:spacing w:before="120" w:after="120" w:line="520" w:lineRule="exact"/>
        <w:ind w:firstLine="562" w:firstLineChars="200"/>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八、本次竞争性磋商邀请供应商的方式:</w:t>
      </w:r>
    </w:p>
    <w:p w14:paraId="3A34E096">
      <w:pPr>
        <w:pStyle w:val="41"/>
        <w:keepNext w:val="0"/>
        <w:keepLines w:val="0"/>
        <w:pageBreakBefore w:val="0"/>
        <w:kinsoku/>
        <w:wordWrap/>
        <w:overflowPunct/>
        <w:topLinePunct w:val="0"/>
        <w:autoSpaceDE/>
        <w:autoSpaceDN/>
        <w:bidi w:val="0"/>
        <w:adjustRightInd/>
        <w:snapToGrid/>
        <w:spacing w:line="520" w:lineRule="exact"/>
        <w:ind w:firstLine="572"/>
        <w:textAlignment w:val="auto"/>
        <w:rPr>
          <w:rFonts w:ascii="仿宋" w:hAnsi="仿宋" w:eastAsia="仿宋" w:cs="仿宋"/>
          <w:color w:val="auto"/>
          <w:sz w:val="28"/>
          <w:szCs w:val="28"/>
          <w:highlight w:val="none"/>
        </w:rPr>
      </w:pPr>
      <w:r>
        <w:rPr>
          <w:rFonts w:hint="eastAsia" w:ascii="仿宋" w:hAnsi="仿宋" w:eastAsia="仿宋"/>
          <w:color w:val="auto"/>
          <w:sz w:val="28"/>
          <w:szCs w:val="28"/>
          <w:highlight w:val="none"/>
        </w:rPr>
        <w:t>在</w:t>
      </w:r>
      <w:r>
        <w:rPr>
          <w:rFonts w:hint="eastAsia" w:ascii="仿宋" w:hAnsi="仿宋" w:eastAsia="仿宋"/>
          <w:color w:val="auto"/>
          <w:sz w:val="28"/>
          <w:szCs w:val="28"/>
          <w:highlight w:val="none"/>
          <w:lang w:eastAsia="zh-CN"/>
        </w:rPr>
        <w:t>《乐山市国有企业阳光采购服务平台》</w:t>
      </w:r>
      <w:r>
        <w:rPr>
          <w:rFonts w:ascii="仿宋" w:hAnsi="仿宋" w:eastAsia="仿宋"/>
          <w:color w:val="auto"/>
          <w:sz w:val="28"/>
          <w:szCs w:val="28"/>
          <w:highlight w:val="none"/>
        </w:rPr>
        <w:t>以公告形式发布</w:t>
      </w:r>
      <w:r>
        <w:rPr>
          <w:rFonts w:hint="eastAsia" w:ascii="仿宋" w:hAnsi="仿宋" w:eastAsia="仿宋"/>
          <w:color w:val="auto"/>
          <w:sz w:val="28"/>
          <w:szCs w:val="28"/>
          <w:highlight w:val="none"/>
        </w:rPr>
        <w:t>。</w:t>
      </w:r>
    </w:p>
    <w:p w14:paraId="1112E896">
      <w:pPr>
        <w:keepNext w:val="0"/>
        <w:keepLines w:val="0"/>
        <w:pageBreakBefore w:val="0"/>
        <w:widowControl w:val="0"/>
        <w:shd w:val="clear"/>
        <w:kinsoku/>
        <w:wordWrap/>
        <w:overflowPunct/>
        <w:topLinePunct w:val="0"/>
        <w:autoSpaceDE/>
        <w:autoSpaceDN/>
        <w:bidi w:val="0"/>
        <w:adjustRightInd/>
        <w:snapToGrid/>
        <w:spacing w:before="120" w:after="120"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九、联系方式</w:t>
      </w:r>
    </w:p>
    <w:p w14:paraId="19F4C2AD">
      <w:pPr>
        <w:pStyle w:val="41"/>
        <w:keepNext w:val="0"/>
        <w:keepLines w:val="0"/>
        <w:pageBreakBefore w:val="0"/>
        <w:shd w:val="clear"/>
        <w:kinsoku/>
        <w:wordWrap/>
        <w:overflowPunct/>
        <w:topLinePunct w:val="0"/>
        <w:autoSpaceDE/>
        <w:autoSpaceDN/>
        <w:bidi w:val="0"/>
        <w:adjustRightInd/>
        <w:snapToGrid/>
        <w:spacing w:line="520" w:lineRule="exact"/>
        <w:ind w:firstLine="609"/>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val="en-US" w:eastAsia="zh-CN"/>
        </w:rPr>
        <w:t>采购</w:t>
      </w:r>
      <w:r>
        <w:rPr>
          <w:rFonts w:hint="eastAsia" w:ascii="仿宋" w:hAnsi="仿宋" w:eastAsia="仿宋" w:cs="仿宋"/>
          <w:b/>
          <w:color w:val="auto"/>
          <w:sz w:val="28"/>
          <w:szCs w:val="28"/>
          <w:highlight w:val="none"/>
        </w:rPr>
        <w:t>人：</w:t>
      </w:r>
      <w:r>
        <w:rPr>
          <w:rFonts w:hint="eastAsia" w:ascii="仿宋" w:hAnsi="仿宋" w:eastAsia="仿宋" w:cs="仿宋"/>
          <w:b/>
          <w:bCs/>
          <w:color w:val="auto"/>
          <w:sz w:val="28"/>
          <w:szCs w:val="28"/>
          <w:highlight w:val="none"/>
          <w:lang w:val="en-US" w:eastAsia="zh-CN"/>
        </w:rPr>
        <w:t>乐山苏稽新区投资建设（集团）有限公司</w:t>
      </w:r>
      <w:r>
        <w:rPr>
          <w:rFonts w:hint="eastAsia" w:ascii="仿宋" w:hAnsi="仿宋" w:eastAsia="仿宋" w:cs="仿宋"/>
          <w:b/>
          <w:color w:val="auto"/>
          <w:sz w:val="28"/>
          <w:szCs w:val="28"/>
          <w:highlight w:val="none"/>
          <w:lang w:eastAsia="zh-CN"/>
        </w:rPr>
        <w:t xml:space="preserve"> </w:t>
      </w:r>
    </w:p>
    <w:p w14:paraId="62C00515">
      <w:pPr>
        <w:pStyle w:val="41"/>
        <w:keepNext w:val="0"/>
        <w:keepLines w:val="0"/>
        <w:pageBreakBefore w:val="0"/>
        <w:shd w:val="clear"/>
        <w:kinsoku/>
        <w:wordWrap/>
        <w:overflowPunct/>
        <w:topLinePunct w:val="0"/>
        <w:autoSpaceDE/>
        <w:autoSpaceDN/>
        <w:bidi w:val="0"/>
        <w:adjustRightInd/>
        <w:snapToGrid/>
        <w:spacing w:line="520" w:lineRule="exact"/>
        <w:ind w:firstLine="607"/>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通讯</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val="en-US" w:eastAsia="zh-CN"/>
        </w:rPr>
        <w:t>：乐山市市中区老泉路一段1111号</w:t>
      </w:r>
    </w:p>
    <w:p w14:paraId="5F8F1A1D">
      <w:pPr>
        <w:pStyle w:val="41"/>
        <w:keepNext w:val="0"/>
        <w:keepLines w:val="0"/>
        <w:pageBreakBefore w:val="0"/>
        <w:shd w:val="clear"/>
        <w:kinsoku/>
        <w:wordWrap/>
        <w:overflowPunct/>
        <w:topLinePunct w:val="0"/>
        <w:autoSpaceDE/>
        <w:autoSpaceDN/>
        <w:bidi w:val="0"/>
        <w:adjustRightInd/>
        <w:snapToGrid/>
        <w:spacing w:line="520" w:lineRule="exact"/>
        <w:ind w:firstLine="607"/>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联 系 人：张老师  </w:t>
      </w:r>
      <w:r>
        <w:rPr>
          <w:rFonts w:hint="eastAsia" w:ascii="仿宋" w:hAnsi="仿宋" w:eastAsia="仿宋" w:cs="仿宋"/>
          <w:color w:val="auto"/>
          <w:sz w:val="28"/>
          <w:szCs w:val="28"/>
          <w:highlight w:val="none"/>
          <w:lang w:val="zh-CN" w:eastAsia="zh-CN"/>
        </w:rPr>
        <w:t>联系电话：</w:t>
      </w:r>
      <w:r>
        <w:rPr>
          <w:rFonts w:hint="eastAsia" w:ascii="仿宋" w:hAnsi="仿宋" w:eastAsia="仿宋" w:cs="仿宋"/>
          <w:color w:val="auto"/>
          <w:sz w:val="28"/>
          <w:szCs w:val="28"/>
          <w:highlight w:val="none"/>
          <w:lang w:val="en-US" w:eastAsia="zh-CN"/>
        </w:rPr>
        <w:t>19162511555</w:t>
      </w:r>
    </w:p>
    <w:p w14:paraId="07C606CC">
      <w:pPr>
        <w:pStyle w:val="41"/>
        <w:keepNext w:val="0"/>
        <w:keepLines w:val="0"/>
        <w:pageBreakBefore w:val="0"/>
        <w:shd w:val="clear"/>
        <w:kinsoku/>
        <w:wordWrap/>
        <w:overflowPunct/>
        <w:topLinePunct w:val="0"/>
        <w:autoSpaceDE/>
        <w:autoSpaceDN/>
        <w:bidi w:val="0"/>
        <w:adjustRightInd/>
        <w:snapToGrid/>
        <w:spacing w:line="520" w:lineRule="exact"/>
        <w:ind w:firstLine="609"/>
        <w:textAlignment w:val="auto"/>
        <w:rPr>
          <w:rFonts w:hint="eastAsia" w:ascii="仿宋" w:hAnsi="仿宋" w:eastAsia="仿宋" w:cs="仿宋"/>
          <w:b/>
          <w:color w:val="auto"/>
          <w:sz w:val="28"/>
          <w:szCs w:val="28"/>
          <w:highlight w:val="none"/>
        </w:rPr>
      </w:pPr>
    </w:p>
    <w:p w14:paraId="162E7675">
      <w:pPr>
        <w:spacing w:line="560" w:lineRule="exact"/>
        <w:ind w:firstLine="562" w:firstLineChars="200"/>
        <w:rPr>
          <w:rFonts w:hint="eastAsia" w:ascii="仿宋" w:hAnsi="仿宋" w:eastAsia="仿宋" w:cs="仿宋"/>
          <w:b/>
          <w:bCs/>
          <w:color w:val="auto"/>
          <w:sz w:val="28"/>
          <w:szCs w:val="28"/>
          <w:highlight w:val="none"/>
          <w:lang w:val="en-US" w:eastAsia="zh-CN"/>
        </w:rPr>
      </w:pPr>
    </w:p>
    <w:p w14:paraId="0C380816">
      <w:pPr>
        <w:spacing w:line="560" w:lineRule="exact"/>
        <w:ind w:firstLine="562" w:firstLineChars="200"/>
        <w:rPr>
          <w:rFonts w:hint="eastAsia" w:ascii="仿宋" w:hAnsi="仿宋" w:eastAsia="仿宋" w:cs="仿宋"/>
          <w:b/>
          <w:bCs/>
          <w:color w:val="auto"/>
          <w:sz w:val="28"/>
          <w:szCs w:val="28"/>
          <w:highlight w:val="none"/>
          <w:lang w:val="en-US" w:eastAsia="zh-CN"/>
        </w:rPr>
      </w:pPr>
    </w:p>
    <w:p w14:paraId="5B9F43CC">
      <w:pPr>
        <w:rPr>
          <w:rFonts w:hint="eastAsia" w:ascii="仿宋" w:hAnsi="仿宋" w:eastAsia="仿宋" w:cs="仿宋"/>
          <w:b/>
          <w:bCs/>
          <w:color w:val="auto"/>
          <w:sz w:val="28"/>
          <w:szCs w:val="28"/>
          <w:highlight w:val="none"/>
        </w:rPr>
      </w:pPr>
    </w:p>
    <w:p w14:paraId="456D7906">
      <w:pPr>
        <w:pStyle w:val="2"/>
        <w:spacing w:before="120" w:after="120" w:line="240" w:lineRule="auto"/>
        <w:jc w:val="center"/>
        <w:rPr>
          <w:rFonts w:ascii="仿宋" w:hAnsi="仿宋" w:eastAsia="仿宋" w:cs="仿宋"/>
          <w:color w:val="auto"/>
          <w:sz w:val="30"/>
          <w:szCs w:val="30"/>
          <w:highlight w:val="none"/>
        </w:rPr>
      </w:pPr>
      <w:bookmarkStart w:id="8" w:name="_Toc361"/>
      <w:bookmarkStart w:id="9" w:name="_Toc13557"/>
      <w:bookmarkStart w:id="10" w:name="_Toc17688"/>
      <w:bookmarkStart w:id="11" w:name="_Toc213397009"/>
      <w:bookmarkStart w:id="12" w:name="_Toc9122"/>
      <w:bookmarkStart w:id="13" w:name="_Toc217446031"/>
      <w:bookmarkStart w:id="14" w:name="_Toc213396759"/>
      <w:bookmarkStart w:id="15" w:name="_Toc5893"/>
      <w:bookmarkStart w:id="16" w:name="_Toc213496267"/>
      <w:bookmarkStart w:id="17" w:name="_Toc14441"/>
      <w:bookmarkStart w:id="18" w:name="_Toc213396945"/>
      <w:bookmarkStart w:id="19" w:name="_Toc6557"/>
      <w:r>
        <w:rPr>
          <w:rFonts w:hint="eastAsia" w:ascii="仿宋" w:hAnsi="仿宋" w:eastAsia="仿宋" w:cs="仿宋"/>
          <w:bCs w:val="0"/>
          <w:color w:val="auto"/>
          <w:kern w:val="2"/>
          <w:sz w:val="36"/>
          <w:szCs w:val="36"/>
          <w:highlight w:val="none"/>
        </w:rPr>
        <w:t>第二章 磋商须知</w:t>
      </w:r>
      <w:bookmarkEnd w:id="8"/>
      <w:bookmarkEnd w:id="9"/>
      <w:bookmarkEnd w:id="10"/>
      <w:bookmarkEnd w:id="11"/>
      <w:bookmarkEnd w:id="12"/>
      <w:bookmarkEnd w:id="13"/>
      <w:bookmarkEnd w:id="14"/>
      <w:bookmarkEnd w:id="15"/>
      <w:bookmarkEnd w:id="16"/>
      <w:bookmarkEnd w:id="17"/>
      <w:bookmarkEnd w:id="18"/>
      <w:bookmarkEnd w:id="19"/>
    </w:p>
    <w:p w14:paraId="384B3297">
      <w:pPr>
        <w:pStyle w:val="3"/>
        <w:spacing w:before="0" w:after="0" w:line="240" w:lineRule="auto"/>
        <w:jc w:val="center"/>
        <w:rPr>
          <w:rFonts w:ascii="仿宋" w:hAnsi="仿宋" w:eastAsia="仿宋" w:cs="仿宋"/>
          <w:color w:val="auto"/>
          <w:highlight w:val="none"/>
        </w:rPr>
      </w:pPr>
      <w:bookmarkStart w:id="20" w:name="_Toc30629"/>
      <w:bookmarkStart w:id="21" w:name="_Toc28115"/>
      <w:r>
        <w:rPr>
          <w:rFonts w:hint="eastAsia" w:ascii="仿宋" w:hAnsi="仿宋" w:eastAsia="仿宋" w:cs="仿宋"/>
          <w:color w:val="auto"/>
          <w:highlight w:val="none"/>
        </w:rPr>
        <w:t>一、供应商须知附表</w:t>
      </w:r>
      <w:bookmarkEnd w:id="20"/>
      <w:bookmarkEnd w:id="21"/>
    </w:p>
    <w:tbl>
      <w:tblPr>
        <w:tblStyle w:val="33"/>
        <w:tblW w:w="10842"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332"/>
        <w:gridCol w:w="7550"/>
      </w:tblGrid>
      <w:tr w14:paraId="66228A8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960" w:type="dxa"/>
            <w:tcBorders>
              <w:tl2br w:val="nil"/>
              <w:tr2bl w:val="nil"/>
            </w:tcBorders>
            <w:vAlign w:val="center"/>
          </w:tcPr>
          <w:p w14:paraId="1DFA69C8">
            <w:pPr>
              <w:pStyle w:val="43"/>
              <w:keepNext w:val="0"/>
              <w:keepLines w:val="0"/>
              <w:pageBreakBefore w:val="0"/>
              <w:kinsoku/>
              <w:wordWrap/>
              <w:overflowPunct/>
              <w:topLinePunct w:val="0"/>
              <w:bidi w:val="0"/>
              <w:spacing w:line="400" w:lineRule="exact"/>
              <w:ind w:left="9"/>
              <w:jc w:val="center"/>
              <w:textAlignment w:val="auto"/>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 xml:space="preserve">序号 </w:t>
            </w:r>
          </w:p>
        </w:tc>
        <w:tc>
          <w:tcPr>
            <w:tcW w:w="2332" w:type="dxa"/>
            <w:tcBorders>
              <w:tl2br w:val="nil"/>
              <w:tr2bl w:val="nil"/>
            </w:tcBorders>
            <w:vAlign w:val="center"/>
          </w:tcPr>
          <w:p w14:paraId="61E94FCB">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 xml:space="preserve">应知事项 </w:t>
            </w:r>
          </w:p>
        </w:tc>
        <w:tc>
          <w:tcPr>
            <w:tcW w:w="7550" w:type="dxa"/>
            <w:tcBorders>
              <w:tl2br w:val="nil"/>
              <w:tr2bl w:val="nil"/>
            </w:tcBorders>
            <w:vAlign w:val="center"/>
          </w:tcPr>
          <w:p w14:paraId="24EB2D72">
            <w:pPr>
              <w:pStyle w:val="43"/>
              <w:keepNext w:val="0"/>
              <w:keepLines w:val="0"/>
              <w:pageBreakBefore w:val="0"/>
              <w:kinsoku/>
              <w:wordWrap/>
              <w:overflowPunct/>
              <w:topLinePunct w:val="0"/>
              <w:bidi w:val="0"/>
              <w:spacing w:line="400" w:lineRule="exact"/>
              <w:jc w:val="center"/>
              <w:textAlignment w:val="auto"/>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说明和要求</w:t>
            </w:r>
          </w:p>
        </w:tc>
      </w:tr>
      <w:tr w14:paraId="4BA228B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60" w:type="dxa"/>
            <w:tcBorders>
              <w:tl2br w:val="nil"/>
              <w:tr2bl w:val="nil"/>
            </w:tcBorders>
            <w:vAlign w:val="center"/>
          </w:tcPr>
          <w:p w14:paraId="24ACD58B">
            <w:pPr>
              <w:pStyle w:val="43"/>
              <w:keepNext w:val="0"/>
              <w:keepLines w:val="0"/>
              <w:pageBreakBefore w:val="0"/>
              <w:kinsoku/>
              <w:wordWrap/>
              <w:overflowPunct/>
              <w:topLinePunct w:val="0"/>
              <w:bidi w:val="0"/>
              <w:spacing w:line="400" w:lineRule="exact"/>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332" w:type="dxa"/>
            <w:tcBorders>
              <w:tl2br w:val="nil"/>
              <w:tr2bl w:val="nil"/>
            </w:tcBorders>
            <w:vAlign w:val="center"/>
          </w:tcPr>
          <w:p w14:paraId="7CC794C5">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采购预算</w:t>
            </w:r>
          </w:p>
          <w:p w14:paraId="698F5028">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（实质性要求）</w:t>
            </w:r>
          </w:p>
        </w:tc>
        <w:tc>
          <w:tcPr>
            <w:tcW w:w="7550" w:type="dxa"/>
            <w:tcBorders>
              <w:tl2br w:val="nil"/>
              <w:tr2bl w:val="nil"/>
            </w:tcBorders>
            <w:vAlign w:val="center"/>
          </w:tcPr>
          <w:p w14:paraId="2A551383">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0" w:firstLineChars="20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最高总限价：</w:t>
            </w:r>
            <w:r>
              <w:rPr>
                <w:rFonts w:hint="eastAsia" w:ascii="仿宋_GB2312"/>
                <w:color w:val="auto"/>
                <w:szCs w:val="32"/>
                <w:lang w:val="en-US" w:eastAsia="zh-CN"/>
              </w:rPr>
              <w:t>150266.00元</w:t>
            </w:r>
          </w:p>
          <w:p w14:paraId="56BC9FE4">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0" w:firstLineChars="2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cs="仿宋"/>
                <w:b w:val="0"/>
                <w:bCs w:val="0"/>
                <w:color w:val="auto"/>
                <w:sz w:val="24"/>
                <w:szCs w:val="24"/>
                <w:highlight w:val="none"/>
                <w:lang w:val="en-US" w:eastAsia="zh-CN"/>
              </w:rPr>
              <w:t>其中包1：采购预算：</w:t>
            </w:r>
            <w:r>
              <w:rPr>
                <w:rFonts w:hint="eastAsia" w:ascii="仿宋" w:hAnsi="仿宋" w:eastAsia="仿宋" w:cs="仿宋"/>
                <w:b/>
                <w:bCs/>
                <w:color w:val="auto"/>
                <w:sz w:val="24"/>
                <w:szCs w:val="24"/>
                <w:highlight w:val="none"/>
                <w:u w:val="none"/>
                <w:lang w:val="en-US" w:eastAsia="zh-CN" w:bidi="ar-SA"/>
              </w:rPr>
              <w:t>14250.00元。</w:t>
            </w:r>
          </w:p>
          <w:p w14:paraId="3D6A9033">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2" w:firstLineChars="2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b/>
                <w:bCs/>
                <w:color w:val="auto"/>
                <w:sz w:val="24"/>
                <w:szCs w:val="24"/>
                <w:highlight w:val="none"/>
                <w:lang w:val="en-US" w:eastAsia="zh-CN"/>
              </w:rPr>
              <w:t>（其中基本审核费用控制价为84750.00元，效益审核费用控制价为56500.00元）</w:t>
            </w:r>
            <w:r>
              <w:rPr>
                <w:rFonts w:hint="eastAsia" w:ascii="仿宋" w:hAnsi="仿宋" w:eastAsia="仿宋" w:cs="仿宋"/>
                <w:b/>
                <w:bCs/>
                <w:color w:val="auto"/>
                <w:sz w:val="24"/>
                <w:szCs w:val="24"/>
                <w:highlight w:val="none"/>
                <w:u w:val="none"/>
                <w:lang w:val="en-US" w:eastAsia="zh-CN" w:bidi="ar-SA"/>
              </w:rPr>
              <w:t>。</w:t>
            </w:r>
          </w:p>
          <w:p w14:paraId="614B1257">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firstLine="480" w:firstLineChars="2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cs="仿宋"/>
                <w:b w:val="0"/>
                <w:bCs w:val="0"/>
                <w:color w:val="auto"/>
                <w:sz w:val="24"/>
                <w:szCs w:val="24"/>
                <w:highlight w:val="none"/>
                <w:lang w:val="en-US" w:eastAsia="zh-CN"/>
              </w:rPr>
              <w:t>包2：采购预算：</w:t>
            </w:r>
            <w:r>
              <w:rPr>
                <w:rFonts w:hint="eastAsia" w:ascii="仿宋" w:hAnsi="仿宋" w:eastAsia="仿宋" w:cs="仿宋"/>
                <w:b/>
                <w:bCs/>
                <w:color w:val="auto"/>
                <w:sz w:val="24"/>
                <w:szCs w:val="24"/>
                <w:highlight w:val="none"/>
                <w:u w:val="none"/>
                <w:lang w:val="en-US" w:eastAsia="zh-CN" w:bidi="ar-SA"/>
              </w:rPr>
              <w:t>9016.00元。</w:t>
            </w:r>
          </w:p>
          <w:p w14:paraId="67B05779">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2" w:firstLineChars="2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b/>
                <w:bCs/>
                <w:color w:val="auto"/>
                <w:sz w:val="24"/>
                <w:szCs w:val="24"/>
                <w:highlight w:val="none"/>
                <w:lang w:val="en-US" w:eastAsia="zh-CN"/>
              </w:rPr>
              <w:t>（其中基本审核费用控制价为5410.00元，效益审核费用控制价为3606.00元）</w:t>
            </w:r>
            <w:r>
              <w:rPr>
                <w:rFonts w:hint="eastAsia" w:ascii="仿宋" w:hAnsi="仿宋" w:eastAsia="仿宋" w:cs="仿宋"/>
                <w:b/>
                <w:bCs/>
                <w:color w:val="auto"/>
                <w:sz w:val="24"/>
                <w:szCs w:val="24"/>
                <w:highlight w:val="none"/>
                <w:u w:val="none"/>
                <w:lang w:val="en-US" w:eastAsia="zh-CN" w:bidi="ar-SA"/>
              </w:rPr>
              <w:t>。</w:t>
            </w:r>
          </w:p>
        </w:tc>
      </w:tr>
      <w:tr w14:paraId="51A2CF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77FCFA99">
            <w:pPr>
              <w:pStyle w:val="43"/>
              <w:keepNext w:val="0"/>
              <w:keepLines w:val="0"/>
              <w:pageBreakBefore w:val="0"/>
              <w:kinsoku/>
              <w:wordWrap/>
              <w:overflowPunct/>
              <w:topLinePunct w:val="0"/>
              <w:bidi w:val="0"/>
              <w:spacing w:line="400" w:lineRule="exact"/>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332" w:type="dxa"/>
            <w:tcBorders>
              <w:tl2br w:val="nil"/>
              <w:tr2bl w:val="nil"/>
            </w:tcBorders>
            <w:vAlign w:val="center"/>
          </w:tcPr>
          <w:p w14:paraId="3014D963">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最高限价</w:t>
            </w:r>
          </w:p>
          <w:p w14:paraId="4AE0BE80">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（实质性要求）</w:t>
            </w:r>
          </w:p>
        </w:tc>
        <w:tc>
          <w:tcPr>
            <w:tcW w:w="7550" w:type="dxa"/>
            <w:tcBorders>
              <w:tl2br w:val="nil"/>
              <w:tr2bl w:val="nil"/>
            </w:tcBorders>
            <w:vAlign w:val="center"/>
          </w:tcPr>
          <w:p w14:paraId="10B51E12">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最高总限价：</w:t>
            </w:r>
            <w:r>
              <w:rPr>
                <w:rFonts w:hint="eastAsia" w:ascii="仿宋_GB2312"/>
                <w:color w:val="auto"/>
                <w:szCs w:val="32"/>
                <w:lang w:val="en-US" w:eastAsia="zh-CN"/>
              </w:rPr>
              <w:t>150266.00元</w:t>
            </w:r>
          </w:p>
          <w:p w14:paraId="646F18F1">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其中包1：最高限价：</w:t>
            </w:r>
            <w:r>
              <w:rPr>
                <w:rFonts w:hint="eastAsia" w:ascii="仿宋" w:hAnsi="仿宋" w:eastAsia="仿宋" w:cs="仿宋"/>
                <w:b/>
                <w:bCs/>
                <w:color w:val="auto"/>
                <w:sz w:val="24"/>
                <w:szCs w:val="24"/>
                <w:highlight w:val="none"/>
                <w:u w:val="none"/>
                <w:lang w:val="en-US" w:eastAsia="zh-CN" w:bidi="ar-SA"/>
              </w:rPr>
              <w:t>141250.00元。</w:t>
            </w:r>
          </w:p>
          <w:p w14:paraId="21EE21AB">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241" w:firstLineChars="1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b/>
                <w:bCs/>
                <w:color w:val="auto"/>
                <w:sz w:val="24"/>
                <w:szCs w:val="24"/>
                <w:highlight w:val="none"/>
                <w:lang w:val="en-US" w:eastAsia="zh-CN"/>
              </w:rPr>
              <w:t>（其中基本审核费用控制价为84750.00元，效益审核费用控制价为56500.00元）</w:t>
            </w:r>
            <w:r>
              <w:rPr>
                <w:rFonts w:hint="eastAsia" w:ascii="仿宋" w:hAnsi="仿宋" w:eastAsia="仿宋" w:cs="仿宋"/>
                <w:b/>
                <w:bCs/>
                <w:color w:val="auto"/>
                <w:sz w:val="24"/>
                <w:szCs w:val="24"/>
                <w:highlight w:val="none"/>
                <w:u w:val="none"/>
                <w:lang w:val="en-US" w:eastAsia="zh-CN" w:bidi="ar-SA"/>
              </w:rPr>
              <w:t>。</w:t>
            </w:r>
          </w:p>
          <w:p w14:paraId="2F1B9F0F">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包2：最高限价：</w:t>
            </w:r>
            <w:r>
              <w:rPr>
                <w:rFonts w:hint="eastAsia" w:ascii="仿宋" w:hAnsi="仿宋" w:eastAsia="仿宋" w:cs="仿宋"/>
                <w:b/>
                <w:bCs/>
                <w:color w:val="auto"/>
                <w:sz w:val="24"/>
                <w:szCs w:val="24"/>
                <w:highlight w:val="none"/>
                <w:u w:val="none"/>
                <w:lang w:val="en-US" w:eastAsia="zh-CN" w:bidi="ar-SA"/>
              </w:rPr>
              <w:t>9015.00元。</w:t>
            </w:r>
          </w:p>
          <w:p w14:paraId="08F894E7">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left="0" w:leftChars="0" w:firstLine="241" w:firstLineChars="100"/>
              <w:jc w:val="both"/>
              <w:textAlignment w:val="auto"/>
              <w:rPr>
                <w:rFonts w:hint="eastAsia" w:ascii="仿宋" w:hAnsi="仿宋" w:eastAsia="仿宋" w:cs="仿宋"/>
                <w:b/>
                <w:bCs/>
                <w:color w:val="auto"/>
                <w:sz w:val="24"/>
                <w:szCs w:val="24"/>
                <w:highlight w:val="none"/>
                <w:u w:val="none"/>
                <w:lang w:val="en-US" w:eastAsia="zh-CN" w:bidi="ar-SA"/>
              </w:rPr>
            </w:pPr>
            <w:r>
              <w:rPr>
                <w:rFonts w:hint="eastAsia" w:ascii="仿宋" w:hAnsi="仿宋" w:eastAsia="仿宋"/>
                <w:b/>
                <w:bCs/>
                <w:color w:val="auto"/>
                <w:sz w:val="24"/>
                <w:szCs w:val="24"/>
                <w:highlight w:val="none"/>
                <w:lang w:val="en-US" w:eastAsia="zh-CN"/>
              </w:rPr>
              <w:t>（其中基本审核费用控制价为5409.00元，效益审核费用控制价为3606.00元）</w:t>
            </w:r>
            <w:r>
              <w:rPr>
                <w:rFonts w:hint="eastAsia" w:ascii="仿宋" w:hAnsi="仿宋" w:eastAsia="仿宋" w:cs="仿宋"/>
                <w:b/>
                <w:bCs/>
                <w:color w:val="auto"/>
                <w:sz w:val="24"/>
                <w:szCs w:val="24"/>
                <w:highlight w:val="none"/>
                <w:u w:val="none"/>
                <w:lang w:val="en-US" w:eastAsia="zh-CN" w:bidi="ar-SA"/>
              </w:rPr>
              <w:t>。</w:t>
            </w:r>
          </w:p>
        </w:tc>
      </w:tr>
      <w:tr w14:paraId="3B1CA9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16D20E74">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332" w:type="dxa"/>
            <w:tcBorders>
              <w:tl2br w:val="nil"/>
              <w:tr2bl w:val="nil"/>
            </w:tcBorders>
            <w:vAlign w:val="center"/>
          </w:tcPr>
          <w:p w14:paraId="33DC4911">
            <w:pPr>
              <w:pStyle w:val="43"/>
              <w:keepNext w:val="0"/>
              <w:keepLines w:val="0"/>
              <w:pageBreakBefore w:val="0"/>
              <w:kinsoku/>
              <w:wordWrap/>
              <w:overflowPunct/>
              <w:topLinePunct w:val="0"/>
              <w:bidi w:val="0"/>
              <w:spacing w:line="400" w:lineRule="exact"/>
              <w:ind w:left="38"/>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投标报价要求</w:t>
            </w:r>
          </w:p>
        </w:tc>
        <w:tc>
          <w:tcPr>
            <w:tcW w:w="7550" w:type="dxa"/>
            <w:tcBorders>
              <w:tl2br w:val="nil"/>
              <w:tr2bl w:val="nil"/>
            </w:tcBorders>
            <w:vAlign w:val="center"/>
          </w:tcPr>
          <w:p w14:paraId="08C8793D">
            <w:pPr>
              <w:pStyle w:val="43"/>
              <w:keepNext w:val="0"/>
              <w:keepLines w:val="0"/>
              <w:pageBreakBefore w:val="0"/>
              <w:widowControl w:val="0"/>
              <w:shd w:val="clear"/>
              <w:kinsoku/>
              <w:wordWrap/>
              <w:overflowPunct/>
              <w:topLinePunct w:val="0"/>
              <w:autoSpaceDE w:val="0"/>
              <w:autoSpaceDN w:val="0"/>
              <w:bidi w:val="0"/>
              <w:adjustRightInd w:val="0"/>
              <w:snapToGrid/>
              <w:spacing w:line="400" w:lineRule="exact"/>
              <w:ind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zh-CN"/>
              </w:rPr>
              <w:t>超过采购预算</w:t>
            </w:r>
            <w:r>
              <w:rPr>
                <w:rFonts w:hint="eastAsia" w:ascii="仿宋" w:hAnsi="仿宋" w:eastAsia="仿宋" w:cs="仿宋"/>
                <w:b/>
                <w:bCs/>
                <w:color w:val="auto"/>
                <w:sz w:val="24"/>
                <w:szCs w:val="24"/>
                <w:highlight w:val="none"/>
                <w:lang w:val="en-US" w:eastAsia="zh-CN"/>
              </w:rPr>
              <w:t>的</w:t>
            </w:r>
            <w:r>
              <w:rPr>
                <w:rFonts w:hint="eastAsia" w:ascii="仿宋" w:hAnsi="仿宋" w:eastAsia="仿宋" w:cs="仿宋"/>
                <w:b/>
                <w:bCs/>
                <w:color w:val="auto"/>
                <w:sz w:val="24"/>
                <w:szCs w:val="24"/>
                <w:highlight w:val="none"/>
                <w:lang w:val="zh-CN"/>
              </w:rPr>
              <w:t>报价无效，</w:t>
            </w:r>
            <w:r>
              <w:rPr>
                <w:rFonts w:hint="eastAsia" w:ascii="仿宋" w:hAnsi="仿宋" w:eastAsia="仿宋" w:cs="仿宋"/>
                <w:b/>
                <w:bCs/>
                <w:color w:val="auto"/>
                <w:sz w:val="24"/>
                <w:szCs w:val="24"/>
                <w:highlight w:val="none"/>
                <w:lang w:val="en-US" w:eastAsia="zh-CN"/>
              </w:rPr>
              <w:t>其中</w:t>
            </w:r>
            <w:r>
              <w:rPr>
                <w:rFonts w:hint="eastAsia" w:ascii="仿宋" w:hAnsi="仿宋" w:eastAsia="仿宋" w:cs="仿宋"/>
                <w:b/>
                <w:bCs/>
                <w:color w:val="auto"/>
                <w:sz w:val="24"/>
                <w:szCs w:val="24"/>
                <w:highlight w:val="none"/>
                <w:u w:val="none"/>
                <w:lang w:val="en-US" w:eastAsia="zh-CN" w:bidi="ar-SA"/>
              </w:rPr>
              <w:t>基本审核费用和效益审核费用分别不得超过其控制价</w:t>
            </w:r>
            <w:r>
              <w:rPr>
                <w:rFonts w:hint="eastAsia" w:ascii="仿宋" w:hAnsi="仿宋" w:eastAsia="仿宋" w:cs="仿宋"/>
                <w:b/>
                <w:bCs/>
                <w:color w:val="auto"/>
                <w:sz w:val="24"/>
                <w:szCs w:val="24"/>
                <w:highlight w:val="none"/>
                <w:lang w:val="zh-CN"/>
              </w:rPr>
              <w:t>。</w:t>
            </w:r>
          </w:p>
        </w:tc>
      </w:tr>
      <w:tr w14:paraId="7ED35EB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60" w:type="dxa"/>
            <w:tcBorders>
              <w:tl2br w:val="nil"/>
              <w:tr2bl w:val="nil"/>
            </w:tcBorders>
            <w:vAlign w:val="center"/>
          </w:tcPr>
          <w:p w14:paraId="6B1A637F">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lang w:val="en-US" w:eastAsia="zh-CN"/>
              </w:rPr>
              <w:t>4</w:t>
            </w:r>
          </w:p>
        </w:tc>
        <w:tc>
          <w:tcPr>
            <w:tcW w:w="2332" w:type="dxa"/>
            <w:tcBorders>
              <w:tl2br w:val="nil"/>
              <w:tr2bl w:val="nil"/>
            </w:tcBorders>
            <w:vAlign w:val="center"/>
          </w:tcPr>
          <w:p w14:paraId="4C4CFB3B">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低于成本价</w:t>
            </w:r>
          </w:p>
          <w:p w14:paraId="28CEB8EB">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不正当竞争预防措施</w:t>
            </w:r>
          </w:p>
          <w:p w14:paraId="2C90BB30">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（实质性要求）</w:t>
            </w:r>
          </w:p>
        </w:tc>
        <w:tc>
          <w:tcPr>
            <w:tcW w:w="7550" w:type="dxa"/>
            <w:tcBorders>
              <w:tl2br w:val="nil"/>
              <w:tr2bl w:val="nil"/>
            </w:tcBorders>
          </w:tcPr>
          <w:p w14:paraId="0F65250D">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lang w:eastAsia="zh-CN"/>
              </w:rPr>
              <w:t>1.在评</w:t>
            </w:r>
            <w:r>
              <w:rPr>
                <w:rFonts w:hint="eastAsia" w:ascii="仿宋" w:hAnsi="仿宋" w:eastAsia="仿宋" w:cs="仿宋"/>
                <w:color w:val="auto"/>
                <w:highlight w:val="none"/>
                <w:lang w:val="en-US" w:eastAsia="zh-CN"/>
              </w:rPr>
              <w:t>审</w:t>
            </w:r>
            <w:r>
              <w:rPr>
                <w:rFonts w:hint="eastAsia" w:ascii="仿宋" w:hAnsi="仿宋" w:eastAsia="仿宋" w:cs="仿宋"/>
                <w:color w:val="auto"/>
                <w:highlight w:val="none"/>
                <w:lang w:eastAsia="zh-CN"/>
              </w:rPr>
              <w:t>过程中，评审委员会认为供应商报价低于采购预算50%或者低于其他有效供应商报价算术平均价40%，</w:t>
            </w:r>
            <w:r>
              <w:rPr>
                <w:rFonts w:hint="eastAsia" w:ascii="仿宋" w:hAnsi="仿宋" w:eastAsia="仿宋" w:cs="仿宋"/>
                <w:color w:val="auto"/>
                <w:highlight w:val="none"/>
              </w:rPr>
              <w:t>有可能影响产品质量或者不能诚信履约的，</w:t>
            </w:r>
            <w:r>
              <w:rPr>
                <w:rFonts w:hint="eastAsia" w:ascii="仿宋" w:hAnsi="仿宋" w:eastAsia="仿宋" w:cs="仿宋"/>
                <w:color w:val="auto"/>
                <w:highlight w:val="none"/>
                <w:lang w:eastAsia="zh-CN"/>
              </w:rPr>
              <w:t>评审委员会</w:t>
            </w:r>
            <w:r>
              <w:rPr>
                <w:rFonts w:hint="eastAsia" w:ascii="仿宋" w:hAnsi="仿宋" w:eastAsia="仿宋" w:cs="仿宋"/>
                <w:color w:val="auto"/>
                <w:highlight w:val="none"/>
              </w:rPr>
              <w:t>应当要求其在</w:t>
            </w:r>
            <w:r>
              <w:rPr>
                <w:rFonts w:hint="eastAsia" w:ascii="仿宋" w:hAnsi="仿宋" w:eastAsia="仿宋" w:cs="仿宋"/>
                <w:color w:val="auto"/>
                <w:highlight w:val="none"/>
                <w:lang w:val="en-US" w:eastAsia="zh-CN"/>
              </w:rPr>
              <w:t>合理时间</w:t>
            </w:r>
            <w:r>
              <w:rPr>
                <w:rFonts w:hint="eastAsia" w:ascii="仿宋" w:hAnsi="仿宋" w:eastAsia="仿宋" w:cs="仿宋"/>
                <w:color w:val="auto"/>
                <w:highlight w:val="none"/>
              </w:rPr>
              <w:t>内通过《乐山市国有企业阳光采购服务平台》进行书面说明，必要时提交相关证明材料。书面说明应当按照国家财务会计制度的规定要求，逐项就</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提供的货物、工程和服务的主营业务成本、税金及附加、销售费用、管理费用、财务费用等成本构成事项详细陈述。</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书面说明应当签字确认或者加盖公章，否则无效。</w:t>
            </w:r>
          </w:p>
          <w:p w14:paraId="3CFAA33C">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提供书面说明后，</w:t>
            </w:r>
            <w:r>
              <w:rPr>
                <w:rFonts w:hint="eastAsia" w:ascii="仿宋" w:hAnsi="仿宋" w:eastAsia="仿宋" w:cs="仿宋"/>
                <w:color w:val="auto"/>
                <w:highlight w:val="none"/>
                <w:lang w:eastAsia="zh-CN"/>
              </w:rPr>
              <w:t>评审委员会</w:t>
            </w:r>
            <w:r>
              <w:rPr>
                <w:rFonts w:hint="eastAsia" w:ascii="仿宋" w:hAnsi="仿宋" w:eastAsia="仿宋" w:cs="仿宋"/>
                <w:color w:val="auto"/>
                <w:highlight w:val="none"/>
              </w:rPr>
              <w:t>应当结合采购项目采购需求、专业实际情况、</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财务状况报告、与其他</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比较情况等就</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书面说明进行审查评价。</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拒绝或者变相拒绝提供有效书面说明或者书面说明不能证明其报价合理性的，</w:t>
            </w:r>
            <w:r>
              <w:rPr>
                <w:rFonts w:hint="eastAsia" w:ascii="仿宋" w:hAnsi="仿宋" w:eastAsia="仿宋" w:cs="仿宋"/>
                <w:color w:val="auto"/>
                <w:highlight w:val="none"/>
                <w:lang w:eastAsia="zh-CN"/>
              </w:rPr>
              <w:t>评审委员会</w:t>
            </w:r>
            <w:r>
              <w:rPr>
                <w:rFonts w:hint="eastAsia" w:ascii="仿宋" w:hAnsi="仿宋" w:eastAsia="仿宋" w:cs="仿宋"/>
                <w:color w:val="auto"/>
                <w:highlight w:val="none"/>
              </w:rPr>
              <w:t>应当将其响应文件作为无效投标处理。</w:t>
            </w:r>
          </w:p>
          <w:p w14:paraId="3BC8D8B9">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参加采购活动，</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要求</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提供产品宣传资料以佐证其投标产品技术参数的，</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应对其提供的产品宣传资料的真实性负责，不得在</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中提供虚假产品宣传资料。经过调查核实或者检测检验，</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投标产品的实际技术参数与其</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中提供的投标产品的宣传资料标注的技术参数不一致的，按照提供虚假材料谋取中标进行处罚。</w:t>
            </w:r>
          </w:p>
          <w:p w14:paraId="6DBB0B57">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lang w:val="en-US" w:eastAsia="zh-CN"/>
              </w:rPr>
              <w:t>在</w:t>
            </w:r>
            <w:r>
              <w:rPr>
                <w:rFonts w:hint="eastAsia" w:ascii="仿宋" w:hAnsi="仿宋" w:eastAsia="仿宋" w:cs="仿宋"/>
                <w:color w:val="auto"/>
                <w:highlight w:val="none"/>
              </w:rPr>
              <w:t>参加采购活动</w:t>
            </w:r>
            <w:r>
              <w:rPr>
                <w:rFonts w:hint="eastAsia" w:ascii="仿宋" w:hAnsi="仿宋" w:eastAsia="仿宋" w:cs="仿宋"/>
                <w:color w:val="auto"/>
                <w:highlight w:val="none"/>
                <w:lang w:val="en-US" w:eastAsia="zh-CN"/>
              </w:rPr>
              <w:t>中</w:t>
            </w:r>
            <w:r>
              <w:rPr>
                <w:rFonts w:hint="eastAsia" w:ascii="仿宋" w:hAnsi="仿宋" w:eastAsia="仿宋" w:cs="仿宋"/>
                <w:color w:val="auto"/>
                <w:highlight w:val="none"/>
              </w:rPr>
              <w:t>，不得编造、传播虚假信息或者误导性信息，损害其他</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的商业信誉、商品声誉。有上述行为的，按照采取不正当手段诋毁其他</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进行处罚。</w:t>
            </w:r>
          </w:p>
          <w:p w14:paraId="382B81AB">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rPr>
              <w:t>5.在确定</w:t>
            </w:r>
            <w:r>
              <w:rPr>
                <w:rFonts w:hint="eastAsia" w:ascii="仿宋" w:hAnsi="仿宋" w:eastAsia="仿宋" w:cs="仿宋"/>
                <w:color w:val="auto"/>
                <w:highlight w:val="none"/>
                <w:lang w:eastAsia="zh-CN"/>
              </w:rPr>
              <w:t>成交供应商</w:t>
            </w:r>
            <w:r>
              <w:rPr>
                <w:rFonts w:hint="eastAsia" w:ascii="仿宋" w:hAnsi="仿宋" w:eastAsia="仿宋" w:cs="仿宋"/>
                <w:color w:val="auto"/>
                <w:highlight w:val="none"/>
              </w:rPr>
              <w:t>过程中，采购人通过调查核实</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确实无偿或低于成本价报价，可能导致无法按照采购法律制度规定和采购合同约定履约的，可以不确定该</w:t>
            </w: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作为</w:t>
            </w:r>
            <w:r>
              <w:rPr>
                <w:rFonts w:hint="eastAsia" w:ascii="仿宋" w:hAnsi="仿宋" w:eastAsia="仿宋" w:cs="仿宋"/>
                <w:color w:val="auto"/>
                <w:highlight w:val="none"/>
                <w:lang w:eastAsia="zh-CN"/>
              </w:rPr>
              <w:t>成交供应商</w:t>
            </w:r>
            <w:r>
              <w:rPr>
                <w:rFonts w:hint="eastAsia" w:ascii="仿宋" w:hAnsi="仿宋" w:eastAsia="仿宋" w:cs="仿宋"/>
                <w:color w:val="auto"/>
                <w:highlight w:val="none"/>
              </w:rPr>
              <w:t>。</w:t>
            </w:r>
          </w:p>
          <w:p w14:paraId="0DC7C827">
            <w:pPr>
              <w:pStyle w:val="43"/>
              <w:keepNext w:val="0"/>
              <w:keepLines w:val="0"/>
              <w:pageBreakBefore w:val="0"/>
              <w:kinsoku/>
              <w:wordWrap/>
              <w:overflowPunct/>
              <w:topLinePunct w:val="0"/>
              <w:bidi w:val="0"/>
              <w:spacing w:line="400" w:lineRule="exact"/>
              <w:ind w:firstLine="241" w:firstLineChars="100"/>
              <w:jc w:val="both"/>
              <w:textAlignment w:val="auto"/>
              <w:rPr>
                <w:rFonts w:ascii="仿宋" w:hAnsi="仿宋" w:eastAsia="仿宋" w:cs="仿宋"/>
                <w:color w:val="auto"/>
                <w:sz w:val="24"/>
                <w:szCs w:val="24"/>
                <w:highlight w:val="none"/>
              </w:rPr>
            </w:pPr>
            <w:r>
              <w:rPr>
                <w:rFonts w:hint="eastAsia" w:ascii="仿宋" w:hAnsi="仿宋" w:eastAsia="仿宋" w:cs="仿宋"/>
                <w:b/>
                <w:bCs/>
                <w:color w:val="auto"/>
                <w:highlight w:val="none"/>
              </w:rPr>
              <w:t>特别提醒：请</w:t>
            </w:r>
            <w:r>
              <w:rPr>
                <w:rFonts w:hint="eastAsia" w:ascii="仿宋" w:hAnsi="仿宋" w:eastAsia="仿宋" w:cs="仿宋"/>
                <w:b/>
                <w:bCs/>
                <w:color w:val="auto"/>
                <w:highlight w:val="none"/>
                <w:lang w:eastAsia="zh-CN"/>
              </w:rPr>
              <w:t>供应商</w:t>
            </w:r>
            <w:r>
              <w:rPr>
                <w:rFonts w:hint="eastAsia" w:ascii="仿宋" w:hAnsi="仿宋" w:eastAsia="仿宋" w:cs="仿宋"/>
                <w:b/>
                <w:bCs/>
                <w:color w:val="auto"/>
                <w:highlight w:val="none"/>
              </w:rPr>
              <w:t>认真阅读上述内容，如认为自己的报价可能大幅度低于其他有效报价的，请按要求提前准备相关证明材料，以备评审所需。</w:t>
            </w:r>
          </w:p>
        </w:tc>
      </w:tr>
      <w:tr w14:paraId="134CC7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19324ADD">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c>
          <w:tcPr>
            <w:tcW w:w="2332" w:type="dxa"/>
            <w:tcBorders>
              <w:tl2br w:val="nil"/>
              <w:tr2bl w:val="nil"/>
            </w:tcBorders>
            <w:vAlign w:val="center"/>
          </w:tcPr>
          <w:p w14:paraId="613550B6">
            <w:pPr>
              <w:pStyle w:val="43"/>
              <w:keepNext w:val="0"/>
              <w:keepLines w:val="0"/>
              <w:pageBreakBefore w:val="0"/>
              <w:kinsoku/>
              <w:wordWrap/>
              <w:overflowPunct/>
              <w:topLinePunct w:val="0"/>
              <w:bidi w:val="0"/>
              <w:spacing w:line="400" w:lineRule="exact"/>
              <w:ind w:left="38"/>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失信供应商管理</w:t>
            </w:r>
          </w:p>
          <w:p w14:paraId="0A0E0410">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（实质性要求）</w:t>
            </w:r>
          </w:p>
        </w:tc>
        <w:tc>
          <w:tcPr>
            <w:tcW w:w="7550" w:type="dxa"/>
            <w:tcBorders>
              <w:tl2br w:val="nil"/>
              <w:tr2bl w:val="nil"/>
            </w:tcBorders>
            <w:vAlign w:val="center"/>
          </w:tcPr>
          <w:p w14:paraId="3518E125">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lang w:val="zh-CN"/>
              </w:rPr>
              <w:t>一</w:t>
            </w:r>
            <w:r>
              <w:rPr>
                <w:rFonts w:hint="eastAsia" w:ascii="仿宋" w:hAnsi="仿宋" w:eastAsia="仿宋" w:cs="仿宋"/>
                <w:color w:val="auto"/>
                <w:highlight w:val="none"/>
              </w:rPr>
              <w:t>）</w:t>
            </w:r>
            <w:r>
              <w:rPr>
                <w:rFonts w:hint="eastAsia" w:ascii="仿宋" w:hAnsi="仿宋" w:eastAsia="仿宋" w:cs="仿宋"/>
                <w:color w:val="auto"/>
                <w:highlight w:val="none"/>
                <w:lang w:val="zh-CN"/>
              </w:rPr>
              <w:t>重大失信行为</w:t>
            </w:r>
          </w:p>
          <w:p w14:paraId="6C9E1FD0">
            <w:pPr>
              <w:pStyle w:val="43"/>
              <w:keepNext w:val="0"/>
              <w:keepLines w:val="0"/>
              <w:pageBreakBefore w:val="0"/>
              <w:kinsoku/>
              <w:wordWrap/>
              <w:overflowPunct/>
              <w:topLinePunct w:val="0"/>
              <w:bidi w:val="0"/>
              <w:spacing w:line="400" w:lineRule="exact"/>
              <w:ind w:firstLine="241" w:firstLineChars="100"/>
              <w:jc w:val="both"/>
              <w:textAlignment w:val="auto"/>
              <w:rPr>
                <w:rFonts w:ascii="仿宋" w:hAnsi="仿宋" w:eastAsia="仿宋" w:cs="仿宋"/>
                <w:b/>
                <w:bCs/>
                <w:color w:val="auto"/>
                <w:highlight w:val="none"/>
              </w:rPr>
            </w:pPr>
            <w:r>
              <w:rPr>
                <w:rFonts w:hint="eastAsia" w:ascii="仿宋" w:hAnsi="仿宋" w:eastAsia="仿宋" w:cs="仿宋"/>
                <w:b/>
                <w:bCs/>
                <w:color w:val="auto"/>
                <w:highlight w:val="none"/>
                <w:lang w:val="en-US" w:eastAsia="zh-CN"/>
              </w:rPr>
              <w:t>供应商</w:t>
            </w:r>
            <w:r>
              <w:rPr>
                <w:rFonts w:hint="eastAsia" w:ascii="仿宋" w:hAnsi="仿宋" w:eastAsia="仿宋" w:cs="仿宋"/>
                <w:b/>
                <w:bCs/>
                <w:color w:val="auto"/>
                <w:highlight w:val="none"/>
                <w:lang w:val="zh-CN"/>
              </w:rPr>
              <w:t>通过</w:t>
            </w:r>
            <w:r>
              <w:rPr>
                <w:rFonts w:hint="eastAsia" w:ascii="仿宋" w:hAnsi="仿宋" w:eastAsia="仿宋" w:cs="仿宋"/>
                <w:b/>
                <w:bCs/>
                <w:color w:val="auto"/>
                <w:highlight w:val="none"/>
              </w:rPr>
              <w:t>“</w:t>
            </w:r>
            <w:r>
              <w:rPr>
                <w:rFonts w:hint="eastAsia" w:ascii="仿宋" w:hAnsi="仿宋" w:eastAsia="仿宋" w:cs="仿宋"/>
                <w:b/>
                <w:bCs/>
                <w:color w:val="auto"/>
                <w:highlight w:val="none"/>
                <w:lang w:val="zh-CN"/>
              </w:rPr>
              <w:t>信用中国</w:t>
            </w:r>
            <w:r>
              <w:rPr>
                <w:rFonts w:hint="eastAsia" w:ascii="仿宋" w:hAnsi="仿宋" w:eastAsia="仿宋" w:cs="仿宋"/>
                <w:b/>
                <w:bCs/>
                <w:color w:val="auto"/>
                <w:highlight w:val="none"/>
              </w:rPr>
              <w:t>”（www.creditchina.gov.cn）</w:t>
            </w:r>
            <w:r>
              <w:rPr>
                <w:rFonts w:hint="eastAsia" w:ascii="仿宋" w:hAnsi="仿宋" w:eastAsia="仿宋" w:cs="仿宋"/>
                <w:b/>
                <w:bCs/>
                <w:color w:val="auto"/>
                <w:highlight w:val="none"/>
                <w:lang w:val="zh-CN"/>
              </w:rPr>
              <w:t>网站</w:t>
            </w:r>
            <w:r>
              <w:rPr>
                <w:rFonts w:hint="eastAsia" w:ascii="仿宋" w:hAnsi="仿宋" w:eastAsia="仿宋" w:cs="仿宋"/>
                <w:b/>
                <w:bCs/>
                <w:color w:val="auto"/>
                <w:highlight w:val="none"/>
              </w:rPr>
              <w:t>自行</w:t>
            </w:r>
            <w:r>
              <w:rPr>
                <w:rFonts w:hint="eastAsia" w:ascii="仿宋" w:hAnsi="仿宋" w:eastAsia="仿宋" w:cs="仿宋"/>
                <w:b/>
                <w:bCs/>
                <w:color w:val="auto"/>
                <w:highlight w:val="none"/>
                <w:lang w:val="zh-CN"/>
              </w:rPr>
              <w:t>查询以采购文件</w:t>
            </w:r>
            <w:r>
              <w:rPr>
                <w:rFonts w:hint="eastAsia" w:ascii="仿宋" w:hAnsi="仿宋" w:eastAsia="仿宋" w:cs="仿宋"/>
                <w:b/>
                <w:bCs/>
                <w:color w:val="auto"/>
                <w:highlight w:val="none"/>
                <w:lang w:val="en-US" w:eastAsia="zh-CN"/>
              </w:rPr>
              <w:t>公告</w:t>
            </w:r>
            <w:r>
              <w:rPr>
                <w:rFonts w:hint="eastAsia" w:ascii="仿宋" w:hAnsi="仿宋" w:eastAsia="仿宋" w:cs="仿宋"/>
                <w:b/>
                <w:bCs/>
                <w:color w:val="auto"/>
                <w:highlight w:val="none"/>
                <w:lang w:val="zh-CN"/>
              </w:rPr>
              <w:t>之日前的信用记录</w:t>
            </w:r>
            <w:r>
              <w:rPr>
                <w:rFonts w:hint="eastAsia" w:ascii="仿宋" w:hAnsi="仿宋" w:eastAsia="仿宋" w:cs="仿宋"/>
                <w:b/>
                <w:bCs/>
                <w:color w:val="auto"/>
                <w:highlight w:val="none"/>
              </w:rPr>
              <w:t>，并在</w:t>
            </w:r>
            <w:r>
              <w:rPr>
                <w:rFonts w:hint="eastAsia" w:ascii="仿宋" w:hAnsi="仿宋" w:eastAsia="仿宋" w:cs="仿宋"/>
                <w:b/>
                <w:bCs/>
                <w:color w:val="auto"/>
                <w:highlight w:val="none"/>
                <w:lang w:eastAsia="zh-CN"/>
              </w:rPr>
              <w:t>响应文件</w:t>
            </w:r>
            <w:r>
              <w:rPr>
                <w:rFonts w:hint="eastAsia" w:ascii="仿宋" w:hAnsi="仿宋" w:eastAsia="仿宋" w:cs="仿宋"/>
                <w:b/>
                <w:bCs/>
                <w:color w:val="auto"/>
                <w:highlight w:val="none"/>
              </w:rPr>
              <w:t>中如实承诺。</w:t>
            </w:r>
            <w:r>
              <w:rPr>
                <w:rFonts w:hint="eastAsia" w:ascii="仿宋" w:hAnsi="仿宋" w:eastAsia="仿宋" w:cs="仿宋"/>
                <w:b/>
                <w:bCs/>
                <w:color w:val="auto"/>
                <w:highlight w:val="none"/>
                <w:lang w:val="zh-CN"/>
              </w:rPr>
              <w:t>对列入失信被执行人、重大税收违法案件当事人名单、政府采购严重违法失信行为记录名单及其他不符合</w:t>
            </w:r>
            <w:r>
              <w:rPr>
                <w:rFonts w:hint="eastAsia" w:ascii="仿宋" w:hAnsi="仿宋" w:eastAsia="仿宋" w:cs="仿宋"/>
                <w:b/>
                <w:bCs/>
                <w:color w:val="auto"/>
                <w:highlight w:val="none"/>
              </w:rPr>
              <w:t>本项目</w:t>
            </w:r>
            <w:r>
              <w:rPr>
                <w:rFonts w:hint="eastAsia" w:ascii="仿宋" w:hAnsi="仿宋" w:eastAsia="仿宋" w:cs="仿宋"/>
                <w:b/>
                <w:bCs/>
                <w:color w:val="auto"/>
                <w:highlight w:val="none"/>
                <w:lang w:val="zh-CN"/>
              </w:rPr>
              <w:t>规定条件的供应商</w:t>
            </w:r>
            <w:r>
              <w:rPr>
                <w:rFonts w:hint="eastAsia" w:ascii="仿宋" w:hAnsi="仿宋" w:eastAsia="仿宋" w:cs="仿宋"/>
                <w:b/>
                <w:bCs/>
                <w:color w:val="auto"/>
                <w:highlight w:val="none"/>
              </w:rPr>
              <w:t>，</w:t>
            </w:r>
            <w:r>
              <w:rPr>
                <w:rFonts w:hint="eastAsia" w:ascii="仿宋" w:hAnsi="仿宋" w:eastAsia="仿宋" w:cs="仿宋"/>
                <w:b/>
                <w:bCs/>
                <w:color w:val="auto"/>
                <w:highlight w:val="none"/>
                <w:lang w:val="zh-CN"/>
              </w:rPr>
              <w:t>拒绝其参与采购活动。</w:t>
            </w:r>
          </w:p>
          <w:p w14:paraId="7A5494AB">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lang w:val="zh-CN"/>
              </w:rPr>
            </w:pPr>
            <w:r>
              <w:rPr>
                <w:rFonts w:hint="eastAsia" w:ascii="仿宋" w:hAnsi="仿宋" w:eastAsia="仿宋" w:cs="仿宋"/>
                <w:color w:val="auto"/>
                <w:highlight w:val="none"/>
                <w:lang w:val="zh-CN"/>
              </w:rPr>
              <w:t>（二）其他失信行为</w:t>
            </w:r>
          </w:p>
          <w:p w14:paraId="3C2CB7A9">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lang w:val="zh-CN"/>
              </w:rPr>
            </w:pPr>
            <w:r>
              <w:rPr>
                <w:rFonts w:hint="eastAsia" w:ascii="仿宋" w:hAnsi="仿宋" w:eastAsia="仿宋" w:cs="仿宋"/>
                <w:color w:val="auto"/>
                <w:highlight w:val="none"/>
                <w:lang w:val="zh-CN"/>
              </w:rPr>
              <w:t>对未列入失信被执行人、重大税收违法案件当事人名单、采购严重违法失信行为记录名单的供应商存在其他失信行为的，参加本次采购活动的，评审时采用报价加成进行惩戒。</w:t>
            </w:r>
          </w:p>
          <w:p w14:paraId="1DA46660">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highlight w:val="none"/>
                <w:lang w:val="zh-CN"/>
              </w:rPr>
            </w:pPr>
            <w:r>
              <w:rPr>
                <w:rFonts w:hint="eastAsia" w:ascii="仿宋" w:hAnsi="仿宋" w:eastAsia="仿宋" w:cs="仿宋"/>
                <w:color w:val="auto"/>
                <w:highlight w:val="none"/>
                <w:lang w:val="zh-CN"/>
              </w:rPr>
              <w:t>报价加成：对记入诚信档案的且在有效期内的失信供应商，在参加采购活动中实行10%的报价加成、以加成后报价作为该供应商报价进行评审。供应商失信行为惩戒实行无限制累加制，因其失信行为进行报价加成惩戒后报价超过采购预算的，其响应文件按无效处理。</w:t>
            </w:r>
          </w:p>
          <w:p w14:paraId="5A4DD68F">
            <w:pPr>
              <w:pStyle w:val="43"/>
              <w:keepNext w:val="0"/>
              <w:keepLines w:val="0"/>
              <w:pageBreakBefore w:val="0"/>
              <w:kinsoku/>
              <w:wordWrap/>
              <w:overflowPunct/>
              <w:topLinePunct w:val="0"/>
              <w:bidi w:val="0"/>
              <w:spacing w:line="400" w:lineRule="exact"/>
              <w:ind w:firstLine="241" w:firstLineChars="100"/>
              <w:jc w:val="both"/>
              <w:textAlignment w:val="auto"/>
              <w:rPr>
                <w:rFonts w:ascii="仿宋" w:hAnsi="仿宋" w:eastAsia="仿宋" w:cs="仿宋"/>
                <w:color w:val="auto"/>
                <w:sz w:val="24"/>
                <w:szCs w:val="24"/>
                <w:highlight w:val="none"/>
              </w:rPr>
            </w:pPr>
            <w:r>
              <w:rPr>
                <w:rFonts w:hint="eastAsia" w:ascii="仿宋" w:hAnsi="仿宋" w:eastAsia="仿宋" w:cs="仿宋"/>
                <w:b/>
                <w:bCs/>
                <w:color w:val="auto"/>
                <w:highlight w:val="none"/>
              </w:rPr>
              <w:t>注</w:t>
            </w:r>
            <w:r>
              <w:rPr>
                <w:rFonts w:hint="eastAsia" w:ascii="仿宋" w:hAnsi="仿宋" w:eastAsia="仿宋" w:cs="仿宋"/>
                <w:b/>
                <w:bCs/>
                <w:color w:val="auto"/>
                <w:highlight w:val="none"/>
                <w:lang w:val="zh-CN"/>
              </w:rPr>
              <w:t>：供应商应当就自己的诚信情况在响应文件的资格性部分进行承诺，否则，作无效</w:t>
            </w:r>
            <w:r>
              <w:rPr>
                <w:rFonts w:hint="eastAsia" w:ascii="仿宋" w:hAnsi="仿宋" w:eastAsia="仿宋" w:cs="仿宋"/>
                <w:b/>
                <w:bCs/>
                <w:color w:val="auto"/>
                <w:highlight w:val="none"/>
              </w:rPr>
              <w:t>投标</w:t>
            </w:r>
            <w:r>
              <w:rPr>
                <w:rFonts w:hint="eastAsia" w:ascii="仿宋" w:hAnsi="仿宋" w:eastAsia="仿宋" w:cs="仿宋"/>
                <w:b/>
                <w:bCs/>
                <w:color w:val="auto"/>
                <w:highlight w:val="none"/>
                <w:lang w:val="zh-CN"/>
              </w:rPr>
              <w:t>处理。</w:t>
            </w:r>
          </w:p>
        </w:tc>
      </w:tr>
      <w:tr w14:paraId="4FB037A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7170757E">
            <w:pPr>
              <w:pStyle w:val="43"/>
              <w:keepNext w:val="0"/>
              <w:keepLines w:val="0"/>
              <w:pageBreakBefore w:val="0"/>
              <w:kinsoku/>
              <w:wordWrap/>
              <w:overflowPunct/>
              <w:topLinePunct w:val="0"/>
              <w:bidi w:val="0"/>
              <w:spacing w:line="40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332" w:type="dxa"/>
            <w:tcBorders>
              <w:tl2br w:val="nil"/>
              <w:tr2bl w:val="nil"/>
            </w:tcBorders>
            <w:vAlign w:val="center"/>
          </w:tcPr>
          <w:p w14:paraId="14A9C3C5">
            <w:pPr>
              <w:keepNext w:val="0"/>
              <w:keepLines w:val="0"/>
              <w:pageBreakBefore w:val="0"/>
              <w:kinsoku/>
              <w:wordWrap/>
              <w:overflowPunct/>
              <w:topLinePunct w:val="0"/>
              <w:bidi w:val="0"/>
              <w:spacing w:line="400" w:lineRule="exact"/>
              <w:ind w:left="170" w:leftChars="50" w:right="170" w:rightChars="50"/>
              <w:jc w:val="center"/>
              <w:textAlignment w:val="auto"/>
              <w:rPr>
                <w:rFonts w:ascii="仿宋" w:hAnsi="仿宋" w:eastAsia="仿宋" w:cs="仿宋"/>
                <w:color w:val="auto"/>
                <w:sz w:val="24"/>
                <w:szCs w:val="24"/>
                <w:highlight w:val="none"/>
                <w:lang w:val="zh-CN"/>
              </w:rPr>
            </w:pPr>
            <w:r>
              <w:rPr>
                <w:rFonts w:hint="eastAsia" w:ascii="仿宋" w:hAnsi="仿宋" w:eastAsia="仿宋"/>
                <w:color w:val="auto"/>
                <w:kern w:val="0"/>
                <w:sz w:val="24"/>
                <w:szCs w:val="24"/>
                <w:highlight w:val="none"/>
              </w:rPr>
              <w:t>成交公告</w:t>
            </w:r>
          </w:p>
        </w:tc>
        <w:tc>
          <w:tcPr>
            <w:tcW w:w="7550" w:type="dxa"/>
            <w:tcBorders>
              <w:tl2br w:val="nil"/>
              <w:tr2bl w:val="nil"/>
            </w:tcBorders>
            <w:vAlign w:val="center"/>
          </w:tcPr>
          <w:p w14:paraId="389047C1">
            <w:pPr>
              <w:keepNext w:val="0"/>
              <w:keepLines w:val="0"/>
              <w:pageBreakBefore w:val="0"/>
              <w:kinsoku/>
              <w:wordWrap/>
              <w:overflowPunct/>
              <w:topLinePunct w:val="0"/>
              <w:bidi w:val="0"/>
              <w:spacing w:line="400" w:lineRule="exact"/>
              <w:ind w:firstLine="240" w:firstLineChars="100"/>
              <w:textAlignment w:val="auto"/>
              <w:rPr>
                <w:rFonts w:ascii="仿宋" w:hAnsi="仿宋" w:eastAsia="仿宋" w:cs="仿宋"/>
                <w:color w:val="auto"/>
                <w:sz w:val="24"/>
                <w:szCs w:val="24"/>
                <w:highlight w:val="none"/>
                <w:lang w:val="zh-CN"/>
              </w:rPr>
            </w:pPr>
            <w:r>
              <w:rPr>
                <w:rFonts w:hint="eastAsia" w:ascii="仿宋" w:hAnsi="仿宋" w:eastAsia="仿宋" w:cs="仿宋"/>
                <w:color w:val="auto"/>
                <w:kern w:val="0"/>
                <w:sz w:val="24"/>
                <w:szCs w:val="24"/>
                <w:highlight w:val="none"/>
                <w:lang w:val="en-US" w:eastAsia="zh-CN"/>
              </w:rPr>
              <w:t>成交</w:t>
            </w:r>
            <w:r>
              <w:rPr>
                <w:rFonts w:hint="eastAsia" w:ascii="仿宋" w:hAnsi="仿宋" w:eastAsia="仿宋" w:cs="仿宋"/>
                <w:color w:val="auto"/>
                <w:kern w:val="0"/>
                <w:sz w:val="24"/>
                <w:szCs w:val="24"/>
                <w:highlight w:val="none"/>
                <w:lang w:val="zh-CN"/>
              </w:rPr>
              <w:t>公告将</w:t>
            </w:r>
            <w:r>
              <w:rPr>
                <w:rFonts w:hint="eastAsia" w:ascii="仿宋" w:hAnsi="仿宋" w:eastAsia="仿宋"/>
                <w:color w:val="auto"/>
                <w:sz w:val="24"/>
                <w:szCs w:val="24"/>
                <w:highlight w:val="none"/>
                <w:lang w:val="zh-CN"/>
              </w:rPr>
              <w:t>在</w:t>
            </w:r>
            <w:r>
              <w:rPr>
                <w:rFonts w:hint="eastAsia" w:ascii="仿宋" w:hAnsi="仿宋" w:eastAsia="仿宋"/>
                <w:color w:val="auto"/>
                <w:sz w:val="24"/>
                <w:szCs w:val="24"/>
                <w:highlight w:val="none"/>
                <w:lang w:eastAsia="zh-CN"/>
              </w:rPr>
              <w:t>《乐山市国有企业阳光采购服务平台》</w:t>
            </w:r>
            <w:r>
              <w:rPr>
                <w:rFonts w:hint="eastAsia" w:ascii="仿宋" w:hAnsi="仿宋" w:eastAsia="仿宋" w:cs="仿宋"/>
                <w:color w:val="auto"/>
                <w:kern w:val="0"/>
                <w:sz w:val="24"/>
                <w:szCs w:val="24"/>
                <w:highlight w:val="none"/>
                <w:lang w:val="zh-CN"/>
              </w:rPr>
              <w:t>采购结果公告栏中予以公告，</w:t>
            </w:r>
            <w:r>
              <w:rPr>
                <w:rFonts w:hint="eastAsia" w:ascii="仿宋" w:hAnsi="仿宋" w:eastAsia="仿宋" w:cs="仿宋"/>
                <w:color w:val="auto"/>
                <w:kern w:val="0"/>
                <w:sz w:val="24"/>
                <w:szCs w:val="24"/>
                <w:highlight w:val="none"/>
                <w:lang w:val="en-US" w:eastAsia="zh-CN"/>
              </w:rPr>
              <w:t>公告期限为1个工作日。</w:t>
            </w:r>
          </w:p>
        </w:tc>
      </w:tr>
      <w:tr w14:paraId="62E859A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60" w:type="dxa"/>
            <w:tcBorders>
              <w:tl2br w:val="nil"/>
              <w:tr2bl w:val="nil"/>
            </w:tcBorders>
            <w:vAlign w:val="center"/>
          </w:tcPr>
          <w:p w14:paraId="180F94FE">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p>
        </w:tc>
        <w:tc>
          <w:tcPr>
            <w:tcW w:w="2332" w:type="dxa"/>
            <w:tcBorders>
              <w:tl2br w:val="nil"/>
              <w:tr2bl w:val="nil"/>
            </w:tcBorders>
            <w:vAlign w:val="center"/>
          </w:tcPr>
          <w:p w14:paraId="3DF9CFD7">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投标保证金</w:t>
            </w:r>
          </w:p>
        </w:tc>
        <w:tc>
          <w:tcPr>
            <w:tcW w:w="7550" w:type="dxa"/>
            <w:tcBorders>
              <w:tl2br w:val="nil"/>
              <w:tr2bl w:val="nil"/>
            </w:tcBorders>
            <w:vAlign w:val="center"/>
          </w:tcPr>
          <w:p w14:paraId="2777B627">
            <w:pPr>
              <w:keepNext w:val="0"/>
              <w:keepLines w:val="0"/>
              <w:pageBreakBefore w:val="0"/>
              <w:kinsoku/>
              <w:wordWrap/>
              <w:overflowPunct/>
              <w:topLinePunct w:val="0"/>
              <w:bidi w:val="0"/>
              <w:spacing w:line="400" w:lineRule="exact"/>
              <w:ind w:firstLine="240" w:firstLineChars="1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本项目不收取。</w:t>
            </w:r>
          </w:p>
        </w:tc>
      </w:tr>
      <w:tr w14:paraId="42FF45D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61C03D7B">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p>
        </w:tc>
        <w:tc>
          <w:tcPr>
            <w:tcW w:w="2332" w:type="dxa"/>
            <w:tcBorders>
              <w:tl2br w:val="nil"/>
              <w:tr2bl w:val="nil"/>
            </w:tcBorders>
            <w:vAlign w:val="center"/>
          </w:tcPr>
          <w:p w14:paraId="3E556E80">
            <w:pPr>
              <w:pStyle w:val="43"/>
              <w:keepNext w:val="0"/>
              <w:keepLines w:val="0"/>
              <w:pageBreakBefore w:val="0"/>
              <w:kinsoku/>
              <w:wordWrap/>
              <w:overflowPunct/>
              <w:topLinePunct w:val="0"/>
              <w:bidi w:val="0"/>
              <w:spacing w:line="400" w:lineRule="exact"/>
              <w:ind w:left="38"/>
              <w:jc w:val="center"/>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履约保证金</w:t>
            </w:r>
          </w:p>
        </w:tc>
        <w:tc>
          <w:tcPr>
            <w:tcW w:w="7550" w:type="dxa"/>
            <w:tcBorders>
              <w:tl2br w:val="nil"/>
              <w:tr2bl w:val="nil"/>
            </w:tcBorders>
            <w:vAlign w:val="center"/>
          </w:tcPr>
          <w:p w14:paraId="759645E3">
            <w:pPr>
              <w:keepNext w:val="0"/>
              <w:keepLines w:val="0"/>
              <w:pageBreakBefore w:val="0"/>
              <w:kinsoku/>
              <w:wordWrap/>
              <w:overflowPunct/>
              <w:topLinePunct w:val="0"/>
              <w:bidi w:val="0"/>
              <w:spacing w:line="400" w:lineRule="exact"/>
              <w:ind w:firstLine="240" w:firstLineChars="100"/>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本项目不收取。</w:t>
            </w:r>
          </w:p>
        </w:tc>
      </w:tr>
      <w:tr w14:paraId="7010C1D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60" w:type="dxa"/>
            <w:tcBorders>
              <w:tl2br w:val="nil"/>
              <w:tr2bl w:val="nil"/>
            </w:tcBorders>
            <w:vAlign w:val="center"/>
          </w:tcPr>
          <w:p w14:paraId="67FF87C1">
            <w:pPr>
              <w:pStyle w:val="43"/>
              <w:keepNext w:val="0"/>
              <w:keepLines w:val="0"/>
              <w:pageBreakBefore w:val="0"/>
              <w:kinsoku/>
              <w:wordWrap/>
              <w:overflowPunct/>
              <w:topLinePunct w:val="0"/>
              <w:bidi w:val="0"/>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2332" w:type="dxa"/>
            <w:tcBorders>
              <w:tl2br w:val="nil"/>
              <w:tr2bl w:val="nil"/>
            </w:tcBorders>
            <w:vAlign w:val="center"/>
          </w:tcPr>
          <w:p w14:paraId="30227A9F">
            <w:pPr>
              <w:pStyle w:val="43"/>
              <w:keepNext w:val="0"/>
              <w:keepLines w:val="0"/>
              <w:pageBreakBefore w:val="0"/>
              <w:widowControl w:val="0"/>
              <w:kinsoku/>
              <w:wordWrap/>
              <w:overflowPunct/>
              <w:topLinePunct w:val="0"/>
              <w:bidi w:val="0"/>
              <w:snapToGrid w:val="0"/>
              <w:spacing w:line="400" w:lineRule="exact"/>
              <w:ind w:left="0" w:leftChars="0" w:right="0" w:rightChars="0"/>
              <w:jc w:val="center"/>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Times New Roman"/>
                <w:color w:val="auto"/>
                <w:kern w:val="2"/>
                <w:sz w:val="24"/>
                <w:szCs w:val="24"/>
                <w:highlight w:val="none"/>
              </w:rPr>
              <w:t>采购活动询问</w:t>
            </w:r>
            <w:r>
              <w:rPr>
                <w:rFonts w:ascii="仿宋" w:hAnsi="仿宋" w:eastAsia="仿宋" w:cs="Times New Roman"/>
                <w:color w:val="auto"/>
                <w:kern w:val="2"/>
                <w:sz w:val="24"/>
                <w:szCs w:val="24"/>
                <w:highlight w:val="none"/>
              </w:rPr>
              <w:t>、质疑、投诉及</w:t>
            </w:r>
            <w:r>
              <w:rPr>
                <w:rFonts w:hint="eastAsia" w:ascii="仿宋" w:hAnsi="仿宋" w:eastAsia="仿宋" w:cs="Times New Roman"/>
                <w:color w:val="auto"/>
                <w:kern w:val="2"/>
                <w:sz w:val="24"/>
                <w:szCs w:val="24"/>
                <w:highlight w:val="none"/>
              </w:rPr>
              <w:t>咨询</w:t>
            </w:r>
          </w:p>
        </w:tc>
        <w:tc>
          <w:tcPr>
            <w:tcW w:w="7550" w:type="dxa"/>
            <w:tcBorders>
              <w:tl2br w:val="nil"/>
              <w:tr2bl w:val="nil"/>
            </w:tcBorders>
            <w:vAlign w:val="top"/>
          </w:tcPr>
          <w:p w14:paraId="5EB6E08B">
            <w:pPr>
              <w:pStyle w:val="41"/>
              <w:keepNext w:val="0"/>
              <w:keepLines w:val="0"/>
              <w:pageBreakBefore w:val="0"/>
              <w:shd w:val="clear"/>
              <w:kinsoku/>
              <w:wordWrap/>
              <w:overflowPunct/>
              <w:topLinePunct w:val="0"/>
              <w:autoSpaceDE/>
              <w:autoSpaceDN/>
              <w:bidi w:val="0"/>
              <w:adjustRightInd/>
              <w:snapToGrid/>
              <w:spacing w:line="520" w:lineRule="exact"/>
              <w:ind w:firstLine="607"/>
              <w:textAlignment w:val="auto"/>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联系人：          </w:t>
            </w:r>
            <w:r>
              <w:rPr>
                <w:rFonts w:hint="eastAsia" w:ascii="仿宋" w:hAnsi="仿宋" w:eastAsia="仿宋" w:cs="仿宋"/>
                <w:color w:val="auto"/>
                <w:kern w:val="0"/>
                <w:sz w:val="24"/>
                <w:szCs w:val="24"/>
                <w:highlight w:val="none"/>
                <w:lang w:val="zh-CN" w:eastAsia="zh-CN" w:bidi="ar-SA"/>
              </w:rPr>
              <w:t>联系电话：</w:t>
            </w:r>
            <w:r>
              <w:rPr>
                <w:rFonts w:hint="eastAsia" w:ascii="仿宋" w:hAnsi="仿宋" w:eastAsia="仿宋" w:cs="仿宋"/>
                <w:color w:val="auto"/>
                <w:kern w:val="0"/>
                <w:sz w:val="24"/>
                <w:szCs w:val="24"/>
                <w:highlight w:val="none"/>
                <w:lang w:val="en-US" w:eastAsia="zh-CN" w:bidi="ar-SA"/>
              </w:rPr>
              <w:t xml:space="preserve">   </w:t>
            </w:r>
          </w:p>
          <w:p w14:paraId="61617798">
            <w:pPr>
              <w:pStyle w:val="43"/>
              <w:keepNext w:val="0"/>
              <w:keepLines w:val="0"/>
              <w:pageBreakBefore w:val="0"/>
              <w:widowControl w:val="0"/>
              <w:kinsoku/>
              <w:wordWrap/>
              <w:overflowPunct/>
              <w:topLinePunct w:val="0"/>
              <w:bidi w:val="0"/>
              <w:snapToGrid w:val="0"/>
              <w:spacing w:line="400" w:lineRule="exact"/>
              <w:ind w:right="0" w:rightChars="0"/>
              <w:jc w:val="both"/>
              <w:textAlignment w:val="auto"/>
              <w:outlineLvl w:val="9"/>
              <w:rPr>
                <w:rFonts w:hint="eastAsia" w:ascii="仿宋" w:hAnsi="仿宋" w:eastAsia="仿宋" w:cs="仿宋"/>
                <w:color w:val="auto"/>
                <w:sz w:val="24"/>
                <w:szCs w:val="24"/>
                <w:highlight w:val="none"/>
                <w:lang w:val="en-US" w:eastAsia="zh-CN"/>
              </w:rPr>
            </w:pPr>
          </w:p>
        </w:tc>
      </w:tr>
      <w:tr w14:paraId="2B8DB99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60" w:type="dxa"/>
            <w:tcBorders>
              <w:tl2br w:val="nil"/>
              <w:tr2bl w:val="nil"/>
            </w:tcBorders>
            <w:vAlign w:val="center"/>
          </w:tcPr>
          <w:p w14:paraId="462A6104">
            <w:pPr>
              <w:pStyle w:val="43"/>
              <w:keepNext w:val="0"/>
              <w:keepLines w:val="0"/>
              <w:pageBreakBefore w:val="0"/>
              <w:kinsoku/>
              <w:wordWrap/>
              <w:overflowPunct/>
              <w:topLinePunct w:val="0"/>
              <w:bidi w:val="0"/>
              <w:spacing w:line="40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2332" w:type="dxa"/>
            <w:tcBorders>
              <w:tl2br w:val="nil"/>
              <w:tr2bl w:val="nil"/>
            </w:tcBorders>
            <w:vAlign w:val="center"/>
          </w:tcPr>
          <w:p w14:paraId="1436AE8C">
            <w:pPr>
              <w:keepNext w:val="0"/>
              <w:keepLines w:val="0"/>
              <w:pageBreakBefore w:val="0"/>
              <w:kinsoku/>
              <w:wordWrap/>
              <w:overflowPunct/>
              <w:topLinePunct w:val="0"/>
              <w:bidi w:val="0"/>
              <w:spacing w:line="400" w:lineRule="exact"/>
              <w:ind w:left="170" w:leftChars="50" w:right="170" w:rightChars="50"/>
              <w:jc w:val="center"/>
              <w:textAlignment w:val="auto"/>
              <w:rPr>
                <w:rFonts w:ascii="仿宋" w:hAnsi="仿宋" w:eastAsia="仿宋" w:cs="仿宋"/>
                <w:bCs/>
                <w:color w:val="auto"/>
                <w:sz w:val="24"/>
                <w:szCs w:val="24"/>
                <w:highlight w:val="none"/>
              </w:rPr>
            </w:pPr>
            <w:r>
              <w:rPr>
                <w:rFonts w:hint="eastAsia" w:ascii="仿宋" w:hAnsi="仿宋" w:eastAsia="仿宋"/>
                <w:color w:val="auto"/>
                <w:sz w:val="24"/>
                <w:szCs w:val="24"/>
                <w:highlight w:val="none"/>
              </w:rPr>
              <w:t>成交通知书领取</w:t>
            </w:r>
          </w:p>
        </w:tc>
        <w:tc>
          <w:tcPr>
            <w:tcW w:w="7550" w:type="dxa"/>
            <w:tcBorders>
              <w:tl2br w:val="nil"/>
              <w:tr2bl w:val="nil"/>
            </w:tcBorders>
            <w:vAlign w:val="center"/>
          </w:tcPr>
          <w:p w14:paraId="70515ABC">
            <w:pPr>
              <w:pStyle w:val="43"/>
              <w:keepNext w:val="0"/>
              <w:keepLines w:val="0"/>
              <w:pageBreakBefore w:val="0"/>
              <w:kinsoku/>
              <w:wordWrap/>
              <w:overflowPunct/>
              <w:topLinePunct w:val="0"/>
              <w:bidi w:val="0"/>
              <w:spacing w:line="400" w:lineRule="exact"/>
              <w:ind w:firstLine="240" w:firstLineChars="100"/>
              <w:jc w:val="both"/>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val="zh-CN"/>
              </w:rPr>
              <w:t>公告在</w:t>
            </w:r>
            <w:r>
              <w:rPr>
                <w:rFonts w:hint="eastAsia" w:ascii="仿宋" w:hAnsi="仿宋" w:eastAsia="仿宋"/>
                <w:color w:val="auto"/>
                <w:sz w:val="24"/>
                <w:szCs w:val="24"/>
                <w:highlight w:val="none"/>
                <w:lang w:eastAsia="zh-CN"/>
              </w:rPr>
              <w:t>《乐山市国有企业阳光采购服务平台》</w:t>
            </w:r>
            <w:r>
              <w:rPr>
                <w:rFonts w:hint="eastAsia" w:ascii="仿宋" w:hAnsi="仿宋" w:eastAsia="仿宋" w:cs="仿宋"/>
                <w:color w:val="auto"/>
                <w:sz w:val="24"/>
                <w:szCs w:val="24"/>
                <w:highlight w:val="none"/>
                <w:lang w:val="zh-CN"/>
              </w:rPr>
              <w:t>发布后</w:t>
            </w:r>
            <w:r>
              <w:rPr>
                <w:rFonts w:hint="eastAsia" w:ascii="仿宋" w:hAnsi="仿宋" w:eastAsia="仿宋"/>
                <w:color w:val="auto"/>
                <w:sz w:val="28"/>
                <w:szCs w:val="28"/>
                <w:highlight w:val="none"/>
              </w:rPr>
              <w:t>，</w:t>
            </w:r>
            <w:r>
              <w:rPr>
                <w:rFonts w:hint="eastAsia" w:ascii="仿宋" w:hAnsi="仿宋" w:eastAsia="仿宋"/>
                <w:color w:val="auto"/>
                <w:sz w:val="24"/>
                <w:szCs w:val="24"/>
                <w:highlight w:val="none"/>
                <w:lang w:val="en-US" w:eastAsia="zh-CN"/>
              </w:rPr>
              <w:t>由成交供应</w:t>
            </w:r>
            <w:r>
              <w:rPr>
                <w:rFonts w:hint="eastAsia" w:ascii="仿宋" w:hAnsi="仿宋" w:eastAsia="仿宋" w:cs="宋体"/>
                <w:color w:val="auto"/>
                <w:sz w:val="24"/>
                <w:szCs w:val="24"/>
                <w:highlight w:val="none"/>
                <w:lang w:val="en-US" w:eastAsia="zh-CN"/>
              </w:rPr>
              <w:t>商在</w:t>
            </w:r>
            <w:r>
              <w:rPr>
                <w:rFonts w:hint="eastAsia" w:ascii="仿宋" w:hAnsi="仿宋" w:eastAsia="仿宋" w:cs="宋体"/>
                <w:color w:val="auto"/>
                <w:sz w:val="24"/>
                <w:szCs w:val="24"/>
                <w:highlight w:val="none"/>
                <w:lang w:eastAsia="zh-CN"/>
              </w:rPr>
              <w:t>乐山市市中区</w:t>
            </w:r>
            <w:r>
              <w:rPr>
                <w:rFonts w:hint="eastAsia" w:ascii="仿宋" w:hAnsi="仿宋" w:eastAsia="仿宋" w:cs="宋体"/>
                <w:color w:val="auto"/>
                <w:sz w:val="24"/>
                <w:szCs w:val="24"/>
                <w:highlight w:val="none"/>
                <w:lang w:val="en-US" w:eastAsia="zh-CN"/>
              </w:rPr>
              <w:t>奥体中心西门3楼</w:t>
            </w:r>
            <w:r>
              <w:rPr>
                <w:rFonts w:hint="eastAsia" w:ascii="仿宋" w:hAnsi="仿宋" w:eastAsia="仿宋" w:cs="宋体"/>
                <w:color w:val="auto"/>
                <w:sz w:val="24"/>
                <w:szCs w:val="24"/>
                <w:highlight w:val="none"/>
                <w:lang w:eastAsia="zh-CN"/>
              </w:rPr>
              <w:t>获</w:t>
            </w:r>
            <w:r>
              <w:rPr>
                <w:rFonts w:hint="eastAsia" w:ascii="仿宋" w:hAnsi="仿宋" w:eastAsia="仿宋"/>
                <w:color w:val="auto"/>
                <w:sz w:val="24"/>
                <w:szCs w:val="24"/>
                <w:highlight w:val="none"/>
                <w:lang w:eastAsia="zh-CN"/>
              </w:rPr>
              <w:t>取</w:t>
            </w:r>
            <w:r>
              <w:rPr>
                <w:rFonts w:hint="eastAsia" w:ascii="仿宋" w:hAnsi="仿宋" w:eastAsia="仿宋"/>
                <w:color w:val="auto"/>
                <w:sz w:val="24"/>
                <w:szCs w:val="24"/>
                <w:highlight w:val="none"/>
                <w:lang w:val="en-US" w:eastAsia="zh-CN"/>
              </w:rPr>
              <w:t>成交</w:t>
            </w:r>
            <w:r>
              <w:rPr>
                <w:rFonts w:hint="eastAsia" w:ascii="仿宋" w:hAnsi="仿宋" w:eastAsia="仿宋"/>
                <w:color w:val="auto"/>
                <w:sz w:val="24"/>
                <w:szCs w:val="24"/>
                <w:highlight w:val="none"/>
                <w:lang w:eastAsia="zh-CN"/>
              </w:rPr>
              <w:t>通知书。</w:t>
            </w:r>
          </w:p>
        </w:tc>
      </w:tr>
      <w:tr w14:paraId="080A607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0" w:type="dxa"/>
            <w:tcBorders>
              <w:tl2br w:val="nil"/>
              <w:tr2bl w:val="nil"/>
            </w:tcBorders>
            <w:vAlign w:val="center"/>
          </w:tcPr>
          <w:p w14:paraId="5FC516AE">
            <w:pPr>
              <w:pStyle w:val="43"/>
              <w:keepNext w:val="0"/>
              <w:keepLines w:val="0"/>
              <w:pageBreakBefore w:val="0"/>
              <w:kinsoku/>
              <w:wordWrap/>
              <w:overflowPunct/>
              <w:topLinePunct w:val="0"/>
              <w:bidi w:val="0"/>
              <w:spacing w:line="40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2332" w:type="dxa"/>
            <w:tcBorders>
              <w:tl2br w:val="nil"/>
              <w:tr2bl w:val="nil"/>
            </w:tcBorders>
            <w:vAlign w:val="center"/>
          </w:tcPr>
          <w:p w14:paraId="50D0BC93">
            <w:pPr>
              <w:pStyle w:val="43"/>
              <w:keepNext w:val="0"/>
              <w:keepLines w:val="0"/>
              <w:pageBreakBefore w:val="0"/>
              <w:kinsoku/>
              <w:wordWrap/>
              <w:overflowPunct/>
              <w:topLinePunct w:val="0"/>
              <w:bidi w:val="0"/>
              <w:spacing w:line="400" w:lineRule="exact"/>
              <w:jc w:val="center"/>
              <w:textAlignment w:val="auto"/>
              <w:rPr>
                <w:rFonts w:ascii="仿宋" w:hAnsi="仿宋" w:eastAsia="仿宋" w:cs="仿宋"/>
                <w:bCs/>
                <w:color w:val="auto"/>
                <w:sz w:val="24"/>
                <w:szCs w:val="24"/>
                <w:highlight w:val="none"/>
              </w:rPr>
            </w:pPr>
            <w:r>
              <w:rPr>
                <w:rFonts w:hint="eastAsia" w:ascii="仿宋" w:hAnsi="仿宋" w:eastAsia="仿宋"/>
                <w:color w:val="auto"/>
                <w:sz w:val="24"/>
                <w:szCs w:val="24"/>
                <w:highlight w:val="none"/>
              </w:rPr>
              <w:t>开展行贿犯罪档案查询</w:t>
            </w:r>
          </w:p>
        </w:tc>
        <w:tc>
          <w:tcPr>
            <w:tcW w:w="7550" w:type="dxa"/>
            <w:tcBorders>
              <w:tl2br w:val="nil"/>
              <w:tr2bl w:val="nil"/>
            </w:tcBorders>
          </w:tcPr>
          <w:p w14:paraId="78A299E0">
            <w:pPr>
              <w:keepNext w:val="0"/>
              <w:keepLines w:val="0"/>
              <w:pageBreakBefore w:val="0"/>
              <w:kinsoku/>
              <w:wordWrap/>
              <w:overflowPunct/>
              <w:topLinePunct w:val="0"/>
              <w:bidi w:val="0"/>
              <w:spacing w:line="400" w:lineRule="exact"/>
              <w:ind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一、在本次采购活动中，参加采购活动的供应商单位及其现任法定代表人、主要负责人不得具有行贿犯罪记录。</w:t>
            </w:r>
          </w:p>
          <w:p w14:paraId="53CB1266">
            <w:pPr>
              <w:keepNext w:val="0"/>
              <w:keepLines w:val="0"/>
              <w:pageBreakBefore w:val="0"/>
              <w:kinsoku/>
              <w:wordWrap/>
              <w:overflowPunct/>
              <w:topLinePunct w:val="0"/>
              <w:bidi w:val="0"/>
              <w:spacing w:line="400" w:lineRule="exact"/>
              <w:ind w:firstLine="240" w:firstLineChars="100"/>
              <w:textAlignment w:val="auto"/>
              <w:rPr>
                <w:rFonts w:ascii="仿宋" w:hAnsi="仿宋" w:eastAsia="仿宋" w:cs="仿宋"/>
                <w:color w:val="auto"/>
                <w:sz w:val="24"/>
                <w:szCs w:val="24"/>
                <w:highlight w:val="none"/>
                <w:lang w:val="zh-CN"/>
              </w:rPr>
            </w:pPr>
            <w:r>
              <w:rPr>
                <w:rFonts w:hint="eastAsia" w:ascii="仿宋" w:hAnsi="仿宋" w:eastAsia="仿宋"/>
                <w:color w:val="auto"/>
                <w:sz w:val="24"/>
                <w:szCs w:val="24"/>
                <w:highlight w:val="none"/>
              </w:rPr>
              <w:t>二、供应商单位及其现任法定代表人、主要负责人被查实有行贿犯罪记录的，供应商</w:t>
            </w:r>
            <w:r>
              <w:rPr>
                <w:rFonts w:hint="eastAsia" w:ascii="仿宋" w:hAnsi="仿宋" w:eastAsia="仿宋"/>
                <w:color w:val="auto"/>
                <w:sz w:val="24"/>
                <w:szCs w:val="24"/>
                <w:highlight w:val="none"/>
                <w:lang w:eastAsia="zh-CN"/>
              </w:rPr>
              <w:t>响应文件</w:t>
            </w:r>
            <w:r>
              <w:rPr>
                <w:rFonts w:hint="eastAsia" w:ascii="仿宋" w:hAnsi="仿宋" w:eastAsia="仿宋"/>
                <w:color w:val="auto"/>
                <w:sz w:val="24"/>
                <w:szCs w:val="24"/>
                <w:highlight w:val="none"/>
              </w:rPr>
              <w:t>应当认定为无效；成交后未签订采购合同的，应当认定成交无效；成交后签订采购合同未履行的，应当认定成交无效，同时撤销采购合同；成交后签订采购合同且已经履行的，应当认定采购活动违法，由相关当事人承担赔偿责任。</w:t>
            </w:r>
          </w:p>
        </w:tc>
      </w:tr>
      <w:tr w14:paraId="014F46D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960" w:type="dxa"/>
            <w:tcBorders>
              <w:tl2br w:val="nil"/>
              <w:tr2bl w:val="nil"/>
            </w:tcBorders>
            <w:vAlign w:val="center"/>
          </w:tcPr>
          <w:p w14:paraId="4F006F46">
            <w:pPr>
              <w:pStyle w:val="43"/>
              <w:keepNext w:val="0"/>
              <w:keepLines w:val="0"/>
              <w:pageBreakBefore w:val="0"/>
              <w:kinsoku/>
              <w:wordWrap/>
              <w:overflowPunct/>
              <w:topLinePunct w:val="0"/>
              <w:bidi w:val="0"/>
              <w:spacing w:line="40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2332" w:type="dxa"/>
            <w:tcBorders>
              <w:tl2br w:val="nil"/>
              <w:tr2bl w:val="nil"/>
            </w:tcBorders>
            <w:vAlign w:val="center"/>
          </w:tcPr>
          <w:p w14:paraId="13B1CC49">
            <w:pPr>
              <w:keepNext w:val="0"/>
              <w:keepLines w:val="0"/>
              <w:pageBreakBefore w:val="0"/>
              <w:widowControl/>
              <w:kinsoku/>
              <w:wordWrap/>
              <w:overflowPunct/>
              <w:topLinePunct w:val="0"/>
              <w:autoSpaceDE w:val="0"/>
              <w:autoSpaceDN w:val="0"/>
              <w:bidi w:val="0"/>
              <w:adjustRightInd w:val="0"/>
              <w:spacing w:line="400" w:lineRule="exact"/>
              <w:jc w:val="center"/>
              <w:textAlignment w:val="auto"/>
              <w:rPr>
                <w:rFonts w:ascii="仿宋" w:hAnsi="仿宋" w:eastAsia="仿宋"/>
                <w:color w:val="auto"/>
                <w:sz w:val="24"/>
                <w:szCs w:val="24"/>
                <w:highlight w:val="none"/>
              </w:rPr>
            </w:pPr>
            <w:r>
              <w:rPr>
                <w:rFonts w:hint="eastAsia" w:ascii="仿宋" w:hAnsi="仿宋" w:eastAsia="仿宋" w:cs="宋体"/>
                <w:color w:val="auto"/>
                <w:kern w:val="0"/>
                <w:sz w:val="24"/>
                <w:szCs w:val="24"/>
                <w:highlight w:val="none"/>
              </w:rPr>
              <w:t>重大违法记录中的较大数额罚款的具体金额标准</w:t>
            </w:r>
          </w:p>
        </w:tc>
        <w:tc>
          <w:tcPr>
            <w:tcW w:w="7550" w:type="dxa"/>
            <w:tcBorders>
              <w:tl2br w:val="nil"/>
              <w:tr2bl w:val="nil"/>
            </w:tcBorders>
          </w:tcPr>
          <w:p w14:paraId="778D148B">
            <w:pPr>
              <w:keepNext w:val="0"/>
              <w:keepLines w:val="0"/>
              <w:pageBreakBefore w:val="0"/>
              <w:kinsoku/>
              <w:wordWrap/>
              <w:overflowPunct/>
              <w:topLinePunct w:val="0"/>
              <w:bidi w:val="0"/>
              <w:spacing w:line="400" w:lineRule="exact"/>
              <w:ind w:firstLine="240" w:firstLineChars="100"/>
              <w:textAlignment w:val="auto"/>
              <w:rPr>
                <w:rFonts w:ascii="仿宋" w:hAnsi="仿宋" w:eastAsia="仿宋"/>
                <w:color w:val="auto"/>
                <w:sz w:val="24"/>
                <w:szCs w:val="24"/>
                <w:highlight w:val="none"/>
              </w:rPr>
            </w:pPr>
            <w:r>
              <w:rPr>
                <w:rFonts w:hint="eastAsia" w:ascii="仿宋" w:hAnsi="仿宋" w:eastAsia="仿宋" w:cs="仿宋"/>
                <w:color w:val="auto"/>
                <w:sz w:val="24"/>
                <w:highlight w:val="none"/>
              </w:rPr>
              <w:t>本项目确定供应商重大违法记录中较大数额罚款的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为准。</w:t>
            </w:r>
          </w:p>
        </w:tc>
      </w:tr>
      <w:tr w14:paraId="6C9CE9C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960" w:type="dxa"/>
            <w:tcBorders>
              <w:tl2br w:val="nil"/>
              <w:tr2bl w:val="nil"/>
            </w:tcBorders>
            <w:vAlign w:val="center"/>
          </w:tcPr>
          <w:p w14:paraId="5A6400D8">
            <w:pPr>
              <w:pStyle w:val="43"/>
              <w:keepNext w:val="0"/>
              <w:keepLines w:val="0"/>
              <w:pageBreakBefore w:val="0"/>
              <w:kinsoku/>
              <w:wordWrap/>
              <w:overflowPunct/>
              <w:topLinePunct w:val="0"/>
              <w:bidi w:val="0"/>
              <w:spacing w:line="40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2332" w:type="dxa"/>
            <w:tcBorders>
              <w:tl2br w:val="nil"/>
              <w:tr2bl w:val="nil"/>
            </w:tcBorders>
            <w:vAlign w:val="center"/>
          </w:tcPr>
          <w:p w14:paraId="25F0966E">
            <w:pPr>
              <w:keepNext w:val="0"/>
              <w:keepLines w:val="0"/>
              <w:pageBreakBefore w:val="0"/>
              <w:tabs>
                <w:tab w:val="left" w:pos="2730"/>
              </w:tabs>
              <w:kinsoku/>
              <w:wordWrap/>
              <w:overflowPunct/>
              <w:topLinePunct w:val="0"/>
              <w:bidi w:val="0"/>
              <w:spacing w:line="400" w:lineRule="exact"/>
              <w:jc w:val="center"/>
              <w:textAlignment w:val="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关于本磋商文件说明（实质性要求）</w:t>
            </w:r>
          </w:p>
        </w:tc>
        <w:tc>
          <w:tcPr>
            <w:tcW w:w="7550" w:type="dxa"/>
            <w:tcBorders>
              <w:tl2br w:val="nil"/>
              <w:tr2bl w:val="nil"/>
            </w:tcBorders>
            <w:vAlign w:val="center"/>
          </w:tcPr>
          <w:p w14:paraId="31E3C593">
            <w:pPr>
              <w:keepNext w:val="0"/>
              <w:keepLines w:val="0"/>
              <w:pageBreakBefore w:val="0"/>
              <w:widowControl w:val="0"/>
              <w:kinsoku/>
              <w:wordWrap/>
              <w:overflowPunct/>
              <w:topLinePunct w:val="0"/>
              <w:autoSpaceDE w:val="0"/>
              <w:autoSpaceDN w:val="0"/>
              <w:bidi w:val="0"/>
              <w:adjustRightInd w:val="0"/>
              <w:snapToGrid w:val="0"/>
              <w:spacing w:line="400" w:lineRule="exact"/>
              <w:ind w:firstLine="240" w:firstLineChars="100"/>
              <w:jc w:val="left"/>
              <w:textAlignment w:val="auto"/>
              <w:rPr>
                <w:rFonts w:ascii="仿宋" w:hAnsi="仿宋" w:eastAsia="仿宋" w:cs="仿宋"/>
                <w:b/>
                <w:bCs/>
                <w:color w:val="auto"/>
                <w:spacing w:val="-6"/>
                <w:sz w:val="24"/>
                <w:szCs w:val="24"/>
                <w:highlight w:val="none"/>
              </w:rPr>
            </w:pPr>
            <w:r>
              <w:rPr>
                <w:rFonts w:hint="eastAsia" w:ascii="仿宋" w:hAnsi="仿宋" w:eastAsia="仿宋"/>
                <w:color w:val="auto"/>
                <w:sz w:val="24"/>
                <w:szCs w:val="24"/>
                <w:highlight w:val="none"/>
              </w:rPr>
              <w:t>本磋商文件如果出现同一问题表述不一致且无澄清或更正公告的以有利于供应商的原则确定。</w:t>
            </w:r>
          </w:p>
        </w:tc>
      </w:tr>
    </w:tbl>
    <w:p w14:paraId="7BCAE91E">
      <w:pPr>
        <w:spacing w:before="120" w:after="120"/>
        <w:jc w:val="center"/>
        <w:outlineLvl w:val="1"/>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二、总  则</w:t>
      </w:r>
      <w:bookmarkStart w:id="22" w:name="_Toc183682342"/>
      <w:bookmarkStart w:id="23" w:name="_Toc183582205"/>
      <w:bookmarkStart w:id="24" w:name="_Toc217446034"/>
    </w:p>
    <w:p w14:paraId="4790EE91">
      <w:pPr>
        <w:pStyle w:val="4"/>
        <w:spacing w:line="400" w:lineRule="exact"/>
        <w:ind w:firstLine="562" w:firstLineChars="200"/>
        <w:rPr>
          <w:rFonts w:ascii="仿宋" w:hAnsi="仿宋" w:eastAsia="仿宋" w:cs="仿宋"/>
          <w:color w:val="auto"/>
          <w:sz w:val="28"/>
          <w:szCs w:val="28"/>
          <w:highlight w:val="none"/>
        </w:rPr>
      </w:pPr>
      <w:bookmarkStart w:id="25" w:name="_Toc16425"/>
      <w:bookmarkStart w:id="26" w:name="_Toc25116"/>
      <w:r>
        <w:rPr>
          <w:rFonts w:hint="eastAsia" w:ascii="仿宋" w:hAnsi="仿宋" w:eastAsia="仿宋" w:cs="仿宋"/>
          <w:color w:val="auto"/>
          <w:sz w:val="28"/>
          <w:szCs w:val="28"/>
          <w:highlight w:val="none"/>
        </w:rPr>
        <w:t>1.</w:t>
      </w:r>
      <w:bookmarkEnd w:id="22"/>
      <w:bookmarkEnd w:id="23"/>
      <w:r>
        <w:rPr>
          <w:rFonts w:hint="eastAsia" w:ascii="仿宋" w:hAnsi="仿宋" w:eastAsia="仿宋" w:cs="仿宋"/>
          <w:color w:val="auto"/>
          <w:sz w:val="28"/>
          <w:szCs w:val="28"/>
          <w:highlight w:val="none"/>
        </w:rPr>
        <w:t>适用范围</w:t>
      </w:r>
      <w:bookmarkEnd w:id="24"/>
      <w:bookmarkEnd w:id="25"/>
      <w:bookmarkEnd w:id="26"/>
    </w:p>
    <w:p w14:paraId="24AEF2D0">
      <w:pPr>
        <w:shd w:val="clear"/>
        <w:tabs>
          <w:tab w:val="left" w:pos="7665"/>
        </w:tabs>
        <w:spacing w:line="560" w:lineRule="exact"/>
        <w:ind w:firstLine="560" w:firstLineChars="200"/>
        <w:rPr>
          <w:rFonts w:ascii="仿宋" w:hAnsi="仿宋" w:eastAsia="仿宋" w:cs="仿宋"/>
          <w:color w:val="auto"/>
          <w:sz w:val="28"/>
          <w:szCs w:val="28"/>
          <w:highlight w:val="none"/>
        </w:rPr>
      </w:pPr>
      <w:bookmarkStart w:id="27" w:name="_Toc183582206"/>
      <w:bookmarkStart w:id="28" w:name="_Toc183682343"/>
      <w:bookmarkStart w:id="29" w:name="_Toc217446035"/>
      <w:bookmarkStart w:id="30" w:name="_Toc21348"/>
      <w:bookmarkStart w:id="31" w:name="_Toc18499"/>
      <w:r>
        <w:rPr>
          <w:rFonts w:hint="eastAsia" w:ascii="仿宋" w:hAnsi="仿宋" w:eastAsia="仿宋" w:cs="仿宋"/>
          <w:color w:val="auto"/>
          <w:sz w:val="28"/>
          <w:szCs w:val="28"/>
          <w:highlight w:val="none"/>
        </w:rPr>
        <w:t>1.1 本</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文件仅适用于本次</w:t>
      </w:r>
      <w:r>
        <w:rPr>
          <w:rFonts w:hint="eastAsia" w:ascii="仿宋" w:hAnsi="仿宋" w:eastAsia="仿宋" w:cs="仿宋"/>
          <w:color w:val="auto"/>
          <w:sz w:val="28"/>
          <w:szCs w:val="28"/>
          <w:highlight w:val="none"/>
          <w:lang w:val="en-US" w:eastAsia="zh-CN"/>
        </w:rPr>
        <w:t>竞争性磋商</w:t>
      </w:r>
      <w:r>
        <w:rPr>
          <w:rFonts w:hint="eastAsia" w:ascii="仿宋" w:hAnsi="仿宋" w:eastAsia="仿宋" w:cs="仿宋"/>
          <w:color w:val="auto"/>
          <w:sz w:val="28"/>
          <w:szCs w:val="28"/>
          <w:highlight w:val="none"/>
        </w:rPr>
        <w:t>采购项目。</w:t>
      </w:r>
    </w:p>
    <w:p w14:paraId="778ADEB2">
      <w:pPr>
        <w:shd w:val="clear"/>
        <w:tabs>
          <w:tab w:val="left" w:pos="7665"/>
        </w:tabs>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 本</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文件的解释权归采购人所有。</w:t>
      </w:r>
    </w:p>
    <w:p w14:paraId="2286F3D5">
      <w:pPr>
        <w:shd w:val="clear"/>
        <w:tabs>
          <w:tab w:val="left" w:pos="7665"/>
        </w:tabs>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本项目根据《</w:t>
      </w:r>
      <w:r>
        <w:rPr>
          <w:rFonts w:hint="eastAsia" w:ascii="仿宋" w:hAnsi="仿宋" w:eastAsia="仿宋" w:cs="仿宋"/>
          <w:color w:val="auto"/>
          <w:sz w:val="28"/>
          <w:szCs w:val="28"/>
          <w:highlight w:val="none"/>
          <w:lang w:val="en-US" w:eastAsia="zh-CN"/>
        </w:rPr>
        <w:t>乐山市市属国有企业阳光采购监督管理办法（试行）</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的</w:t>
      </w:r>
      <w:r>
        <w:rPr>
          <w:rFonts w:hint="eastAsia" w:ascii="仿宋" w:hAnsi="仿宋" w:eastAsia="仿宋" w:cs="仿宋"/>
          <w:color w:val="auto"/>
          <w:sz w:val="28"/>
          <w:szCs w:val="28"/>
          <w:highlight w:val="none"/>
        </w:rPr>
        <w:t>规定</w:t>
      </w:r>
      <w:r>
        <w:rPr>
          <w:rFonts w:hint="eastAsia" w:ascii="仿宋" w:hAnsi="仿宋" w:eastAsia="仿宋" w:cs="仿宋"/>
          <w:color w:val="auto"/>
          <w:sz w:val="28"/>
          <w:szCs w:val="28"/>
          <w:highlight w:val="none"/>
          <w:lang w:val="en-US" w:eastAsia="zh-CN"/>
        </w:rPr>
        <w:t>实施</w:t>
      </w:r>
      <w:r>
        <w:rPr>
          <w:rFonts w:hint="eastAsia" w:ascii="仿宋" w:hAnsi="仿宋" w:eastAsia="仿宋" w:cs="仿宋"/>
          <w:color w:val="auto"/>
          <w:sz w:val="28"/>
          <w:szCs w:val="28"/>
          <w:highlight w:val="none"/>
        </w:rPr>
        <w:t>。</w:t>
      </w:r>
    </w:p>
    <w:bookmarkEnd w:id="27"/>
    <w:bookmarkEnd w:id="28"/>
    <w:bookmarkEnd w:id="29"/>
    <w:bookmarkEnd w:id="30"/>
    <w:bookmarkEnd w:id="31"/>
    <w:p w14:paraId="1619EC6E">
      <w:pPr>
        <w:pStyle w:val="4"/>
        <w:spacing w:line="400" w:lineRule="exact"/>
        <w:ind w:firstLine="562" w:firstLineChars="200"/>
        <w:rPr>
          <w:rFonts w:ascii="仿宋" w:hAnsi="仿宋" w:eastAsia="仿宋" w:cs="仿宋"/>
          <w:color w:val="auto"/>
          <w:sz w:val="28"/>
          <w:szCs w:val="28"/>
          <w:highlight w:val="none"/>
        </w:rPr>
      </w:pPr>
      <w:bookmarkStart w:id="32" w:name="_Toc183682344"/>
      <w:bookmarkStart w:id="33" w:name="_Toc217390843"/>
      <w:bookmarkStart w:id="34" w:name="_Toc217446036"/>
      <w:bookmarkStart w:id="35" w:name="_Toc183582207"/>
      <w:bookmarkStart w:id="36" w:name="_Toc11700"/>
      <w:bookmarkStart w:id="37" w:name="_Toc5396"/>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.合格</w:t>
      </w:r>
      <w:bookmarkEnd w:id="32"/>
      <w:bookmarkEnd w:id="33"/>
      <w:bookmarkEnd w:id="34"/>
      <w:bookmarkEnd w:id="35"/>
      <w:r>
        <w:rPr>
          <w:rFonts w:hint="eastAsia" w:ascii="仿宋" w:hAnsi="仿宋" w:eastAsia="仿宋" w:cs="仿宋"/>
          <w:color w:val="auto"/>
          <w:sz w:val="28"/>
          <w:szCs w:val="28"/>
          <w:highlight w:val="none"/>
        </w:rPr>
        <w:t>供应商（实质性要求）</w:t>
      </w:r>
      <w:bookmarkEnd w:id="36"/>
      <w:bookmarkEnd w:id="37"/>
    </w:p>
    <w:p w14:paraId="18CE4267">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合格供应商应具备以下条件：</w:t>
      </w:r>
    </w:p>
    <w:p w14:paraId="69C01716">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.1 具备法律法规和本</w:t>
      </w:r>
      <w:r>
        <w:rPr>
          <w:rFonts w:hint="eastAsia" w:ascii="仿宋" w:hAnsi="仿宋" w:eastAsia="仿宋" w:cs="仿宋"/>
          <w:color w:val="auto"/>
          <w:sz w:val="28"/>
          <w:szCs w:val="28"/>
          <w:highlight w:val="none"/>
          <w:lang w:eastAsia="zh-CN"/>
        </w:rPr>
        <w:t>磋商文件</w:t>
      </w:r>
      <w:r>
        <w:rPr>
          <w:rFonts w:hint="eastAsia" w:ascii="仿宋" w:hAnsi="仿宋" w:eastAsia="仿宋" w:cs="仿宋"/>
          <w:color w:val="auto"/>
          <w:sz w:val="28"/>
          <w:szCs w:val="28"/>
          <w:highlight w:val="none"/>
        </w:rPr>
        <w:t>规定的资格条件；</w:t>
      </w:r>
    </w:p>
    <w:p w14:paraId="0A9F9119">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.2 不属于禁止参加本项目采购活动的供应商；</w:t>
      </w:r>
    </w:p>
    <w:p w14:paraId="05565D89">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.3 按照规定获取了磋商文件，属于实质性参加采购活动的供应商。</w:t>
      </w:r>
    </w:p>
    <w:p w14:paraId="2155423B">
      <w:pPr>
        <w:pStyle w:val="4"/>
        <w:spacing w:line="400" w:lineRule="exact"/>
        <w:ind w:firstLine="562" w:firstLineChars="200"/>
        <w:rPr>
          <w:rFonts w:ascii="仿宋" w:hAnsi="仿宋" w:eastAsia="仿宋" w:cs="仿宋"/>
          <w:color w:val="auto"/>
          <w:sz w:val="28"/>
          <w:szCs w:val="28"/>
          <w:highlight w:val="none"/>
        </w:rPr>
      </w:pPr>
      <w:bookmarkStart w:id="38" w:name="_Toc183682345"/>
      <w:bookmarkStart w:id="39" w:name="_Toc183582208"/>
      <w:bookmarkStart w:id="40" w:name="_Toc21216"/>
      <w:bookmarkStart w:id="41" w:name="_Toc217446037"/>
      <w:bookmarkStart w:id="42" w:name="_Toc22732"/>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.磋商费用</w:t>
      </w:r>
      <w:bookmarkEnd w:id="38"/>
      <w:bookmarkEnd w:id="39"/>
      <w:bookmarkEnd w:id="40"/>
      <w:bookmarkEnd w:id="41"/>
      <w:bookmarkEnd w:id="42"/>
    </w:p>
    <w:p w14:paraId="7591599A">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供应商应自行承担参加磋商活动的全部费用。</w:t>
      </w:r>
    </w:p>
    <w:p w14:paraId="553E744E">
      <w:pPr>
        <w:pStyle w:val="4"/>
        <w:spacing w:line="400" w:lineRule="exact"/>
        <w:ind w:firstLine="562" w:firstLineChars="200"/>
        <w:rPr>
          <w:rFonts w:ascii="仿宋" w:hAnsi="仿宋" w:eastAsia="仿宋" w:cs="仿宋"/>
          <w:color w:val="auto"/>
          <w:sz w:val="28"/>
          <w:szCs w:val="28"/>
          <w:highlight w:val="none"/>
        </w:rPr>
      </w:pPr>
      <w:bookmarkStart w:id="43" w:name="_Toc17014"/>
      <w:bookmarkStart w:id="44" w:name="_Toc19279"/>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.充分、公平竞争保障措施（实质性要求）</w:t>
      </w:r>
      <w:bookmarkEnd w:id="43"/>
      <w:bookmarkEnd w:id="44"/>
    </w:p>
    <w:p w14:paraId="1CE7434C">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bookmarkStart w:id="45" w:name="_Toc217446038"/>
      <w:bookmarkStart w:id="46" w:name="_Toc183582209"/>
      <w:bookmarkStart w:id="47" w:name="_Toc77400779"/>
      <w:bookmarkStart w:id="48" w:name="_Toc183682346"/>
      <w:bookmarkStart w:id="49" w:name="_Toc89075875"/>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14:paraId="4A6BF412">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5.2利害关系授权代表处理。两家以上的供应商不得在同一合同项下的采购项目中，委托同一个自然人、同一家庭的人员、同一单位的人员作为其授权代表，否则，其响应文件作为无效处理。</w:t>
      </w:r>
    </w:p>
    <w:p w14:paraId="32BC05D5">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5.3前期参与供应商处理。为采购项目提供整体设计、规范编制或者项目管理、监理、检测等服务的供应商，不得再参加该采购项目的其他采购活动。供应商为采购人、采购代理机构在确定采购需求、编制</w:t>
      </w:r>
      <w:r>
        <w:rPr>
          <w:rFonts w:hint="eastAsia" w:ascii="仿宋" w:hAnsi="仿宋" w:eastAsia="仿宋" w:cs="仿宋"/>
          <w:color w:val="auto"/>
          <w:sz w:val="28"/>
          <w:szCs w:val="28"/>
          <w:highlight w:val="none"/>
          <w:lang w:eastAsia="zh-CN"/>
        </w:rPr>
        <w:t>磋商文件</w:t>
      </w:r>
      <w:r>
        <w:rPr>
          <w:rFonts w:hint="eastAsia" w:ascii="仿宋" w:hAnsi="仿宋" w:eastAsia="仿宋" w:cs="仿宋"/>
          <w:color w:val="auto"/>
          <w:sz w:val="28"/>
          <w:szCs w:val="28"/>
          <w:highlight w:val="none"/>
        </w:rPr>
        <w:t>过程中提供咨询论证，其提供的咨询论证意见成为</w:t>
      </w:r>
      <w:r>
        <w:rPr>
          <w:rFonts w:hint="eastAsia" w:ascii="仿宋" w:hAnsi="仿宋" w:eastAsia="仿宋" w:cs="仿宋"/>
          <w:color w:val="auto"/>
          <w:sz w:val="28"/>
          <w:szCs w:val="28"/>
          <w:highlight w:val="none"/>
          <w:lang w:eastAsia="zh-CN"/>
        </w:rPr>
        <w:t>磋商文件</w:t>
      </w:r>
      <w:r>
        <w:rPr>
          <w:rFonts w:hint="eastAsia" w:ascii="仿宋" w:hAnsi="仿宋" w:eastAsia="仿宋" w:cs="仿宋"/>
          <w:color w:val="auto"/>
          <w:sz w:val="28"/>
          <w:szCs w:val="28"/>
          <w:highlight w:val="none"/>
        </w:rPr>
        <w:t>中规定的供应商资格条件、技术服务商务要求、评标因素和标准、采购合同等实质性内容条款的，视同为采购项目提供规范编制。</w:t>
      </w:r>
    </w:p>
    <w:p w14:paraId="778551ED">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5.4提供相同品牌产品处理。提供相同品牌产品且通过资格审查、符合性审查的不同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参加同一合同项下</w:t>
      </w:r>
      <w:r>
        <w:rPr>
          <w:rFonts w:hint="eastAsia" w:ascii="仿宋" w:hAnsi="仿宋" w:eastAsia="仿宋" w:cs="仿宋"/>
          <w:color w:val="auto"/>
          <w:sz w:val="28"/>
          <w:szCs w:val="28"/>
          <w:highlight w:val="none"/>
          <w:lang w:val="en-US" w:eastAsia="zh-CN"/>
        </w:rPr>
        <w:t>采购活动</w:t>
      </w:r>
      <w:r>
        <w:rPr>
          <w:rFonts w:hint="eastAsia" w:ascii="仿宋" w:hAnsi="仿宋" w:eastAsia="仿宋" w:cs="仿宋"/>
          <w:color w:val="auto"/>
          <w:sz w:val="28"/>
          <w:szCs w:val="28"/>
          <w:highlight w:val="none"/>
        </w:rPr>
        <w:t>的，按一家</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计算，评审后得分最高的同品牌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获得</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推荐资格；评审得分相同的，由采购人或者采购人委托评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委员会按照</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文件规定的方式确定一个</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获得</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推荐资格，</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文件未规定的采取随机抽取方式确定，其他同品牌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不作为</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候选人。</w:t>
      </w:r>
    </w:p>
    <w:p w14:paraId="3EFB23DD">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非单一产品采购项目中，多家供应商提供的部分或所有核心产品品牌相同的，视为提供相同品牌产品。</w:t>
      </w:r>
    </w:p>
    <w:p w14:paraId="10552823">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5.5供应商实际控制人或者中高级管理人员，同时是采购代理机构工作人员，不得参与本项目采购活动。</w:t>
      </w:r>
    </w:p>
    <w:p w14:paraId="5437A387">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5.6同一母公司的两家以上的子公司只能组成联合体参加本项目同一合同项下的采购活动，不得以不同供应商身份同时参加本项目同一合同项下的采购活动。</w:t>
      </w:r>
    </w:p>
    <w:p w14:paraId="2B3A8B25">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5.7供应商与采购代理机构存在关联关系，或者是采购代理机构的母公司或子公司，不得参加本项目采购活动。</w:t>
      </w:r>
    </w:p>
    <w:p w14:paraId="32D6A39D">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5.8回避。采购活动中，采购人员及相关人员与供应商有下列利害关系之一的，应当回避：</w:t>
      </w:r>
    </w:p>
    <w:p w14:paraId="5FF08995">
      <w:pPr>
        <w:pStyle w:val="89"/>
        <w:keepNext w:val="0"/>
        <w:keepLines w:val="0"/>
        <w:pageBreakBefore w:val="0"/>
        <w:widowControl w:val="0"/>
        <w:kinsoku/>
        <w:wordWrap/>
        <w:overflowPunct/>
        <w:topLinePunct w:val="0"/>
        <w:autoSpaceDE/>
        <w:autoSpaceDN/>
        <w:bidi w:val="0"/>
        <w:adjustRightInd w:val="0"/>
        <w:snapToGrid w:val="0"/>
        <w:spacing w:line="560" w:lineRule="exact"/>
        <w:ind w:firstLine="420" w:firstLineChars="1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（1）参加采购活动前3年内与供应商存在劳动关系；</w:t>
      </w:r>
    </w:p>
    <w:p w14:paraId="6344953B">
      <w:pPr>
        <w:pStyle w:val="89"/>
        <w:keepNext w:val="0"/>
        <w:keepLines w:val="0"/>
        <w:pageBreakBefore w:val="0"/>
        <w:widowControl w:val="0"/>
        <w:kinsoku/>
        <w:wordWrap/>
        <w:overflowPunct/>
        <w:topLinePunct w:val="0"/>
        <w:autoSpaceDE/>
        <w:autoSpaceDN/>
        <w:bidi w:val="0"/>
        <w:adjustRightInd w:val="0"/>
        <w:snapToGrid w:val="0"/>
        <w:spacing w:line="560" w:lineRule="exact"/>
        <w:ind w:firstLine="420" w:firstLineChars="1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（2）参加采购活动前3年内担任供应商的董事、监事；</w:t>
      </w:r>
    </w:p>
    <w:p w14:paraId="1D0BE93C">
      <w:pPr>
        <w:pStyle w:val="89"/>
        <w:keepNext w:val="0"/>
        <w:keepLines w:val="0"/>
        <w:pageBreakBefore w:val="0"/>
        <w:widowControl w:val="0"/>
        <w:kinsoku/>
        <w:wordWrap/>
        <w:overflowPunct/>
        <w:topLinePunct w:val="0"/>
        <w:autoSpaceDE/>
        <w:autoSpaceDN/>
        <w:bidi w:val="0"/>
        <w:adjustRightInd w:val="0"/>
        <w:snapToGrid w:val="0"/>
        <w:spacing w:line="560" w:lineRule="exact"/>
        <w:ind w:firstLine="420" w:firstLineChars="1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（3）参加采购活动前3年内是供应商的控股股东或者实际控制人；</w:t>
      </w:r>
    </w:p>
    <w:p w14:paraId="358544FA">
      <w:pPr>
        <w:pStyle w:val="89"/>
        <w:keepNext w:val="0"/>
        <w:keepLines w:val="0"/>
        <w:pageBreakBefore w:val="0"/>
        <w:widowControl w:val="0"/>
        <w:kinsoku/>
        <w:wordWrap/>
        <w:overflowPunct/>
        <w:topLinePunct w:val="0"/>
        <w:autoSpaceDE/>
        <w:autoSpaceDN/>
        <w:bidi w:val="0"/>
        <w:adjustRightInd w:val="0"/>
        <w:snapToGrid w:val="0"/>
        <w:spacing w:line="560" w:lineRule="exact"/>
        <w:ind w:firstLine="420" w:firstLineChars="1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（4）与供应商的法定代表人或者负责人有夫妻、直系血亲、三代以内旁系血亲或者近姻亲关系；</w:t>
      </w:r>
    </w:p>
    <w:p w14:paraId="31B4A2ED">
      <w:pPr>
        <w:pStyle w:val="89"/>
        <w:keepNext w:val="0"/>
        <w:keepLines w:val="0"/>
        <w:pageBreakBefore w:val="0"/>
        <w:widowControl w:val="0"/>
        <w:kinsoku/>
        <w:wordWrap/>
        <w:overflowPunct/>
        <w:topLinePunct w:val="0"/>
        <w:autoSpaceDE/>
        <w:autoSpaceDN/>
        <w:bidi w:val="0"/>
        <w:adjustRightInd w:val="0"/>
        <w:snapToGrid w:val="0"/>
        <w:spacing w:line="560" w:lineRule="exact"/>
        <w:ind w:firstLine="420" w:firstLineChars="1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（5）与供应商有其他可能影响采购活动公平、公正进行的关系。</w:t>
      </w:r>
    </w:p>
    <w:p w14:paraId="30D9A800">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购活动中需要依法回避的采购人员是指采购人内部负责采购项目的具体经办工作人员和直接分管采购项目的负责人，以及采购代理机构负责采购项目的具体经办工作人员和直接分管采购活动的负责人。本项目采购活动中需要依法回避的相关人员是指</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w:t>
      </w:r>
    </w:p>
    <w:p w14:paraId="19A9D288">
      <w:pPr>
        <w:pStyle w:val="8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供应商认为采购人员及相关人员与其他供应商有利害关系的，可以向采购代理机构书面提出回避申请，并说明理由。采购代理机构将及时询问被申请回避人员，有利害关系的被申请回避人员应当回避。</w:t>
      </w:r>
    </w:p>
    <w:p w14:paraId="7AB6991A">
      <w:pPr>
        <w:spacing w:before="260" w:after="26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三、磋商文件</w:t>
      </w:r>
      <w:bookmarkEnd w:id="45"/>
      <w:bookmarkEnd w:id="46"/>
      <w:bookmarkEnd w:id="47"/>
      <w:bookmarkEnd w:id="48"/>
      <w:bookmarkEnd w:id="49"/>
      <w:bookmarkStart w:id="50" w:name="_Toc183582210"/>
      <w:bookmarkStart w:id="51" w:name="_Toc183682347"/>
      <w:bookmarkStart w:id="52" w:name="_Toc217446039"/>
    </w:p>
    <w:p w14:paraId="3DF09F30">
      <w:pPr>
        <w:pStyle w:val="4"/>
        <w:spacing w:line="400" w:lineRule="exact"/>
        <w:ind w:firstLine="562" w:firstLineChars="200"/>
        <w:rPr>
          <w:rFonts w:ascii="仿宋" w:hAnsi="仿宋" w:eastAsia="仿宋" w:cs="仿宋"/>
          <w:color w:val="auto"/>
          <w:sz w:val="28"/>
          <w:szCs w:val="28"/>
          <w:highlight w:val="none"/>
        </w:rPr>
      </w:pPr>
      <w:bookmarkStart w:id="53" w:name="_Toc14707"/>
      <w:bookmarkStart w:id="54" w:name="_Toc12508"/>
      <w:r>
        <w:rPr>
          <w:rFonts w:hint="eastAsia" w:ascii="仿宋" w:hAnsi="仿宋" w:eastAsia="仿宋" w:cs="仿宋"/>
          <w:color w:val="auto"/>
          <w:sz w:val="28"/>
          <w:szCs w:val="28"/>
          <w:highlight w:val="none"/>
        </w:rPr>
        <w:t>6.磋商文件的构成</w:t>
      </w:r>
      <w:bookmarkEnd w:id="50"/>
      <w:bookmarkEnd w:id="51"/>
      <w:bookmarkEnd w:id="52"/>
      <w:r>
        <w:rPr>
          <w:rFonts w:hint="eastAsia" w:ascii="仿宋" w:hAnsi="仿宋" w:eastAsia="仿宋" w:cs="仿宋"/>
          <w:color w:val="auto"/>
          <w:sz w:val="28"/>
          <w:szCs w:val="28"/>
          <w:highlight w:val="none"/>
        </w:rPr>
        <w:t>（实质性要求）</w:t>
      </w:r>
      <w:bookmarkEnd w:id="53"/>
      <w:bookmarkEnd w:id="54"/>
    </w:p>
    <w:p w14:paraId="77F58F4B">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 磋商文件是供应商准备响应文件和参加磋商的依据，同时也是磋商的重要依据。磋商文件用以阐明磋商项目所需的资质、产品要求、技术、服务及报价等要求、磋商程序、有关规定和注意事项以及合同主要条款等。</w:t>
      </w:r>
    </w:p>
    <w:p w14:paraId="405B5F9D">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 供应商收到磋商文件时，应检查页数和附件数量。供应商发现任何页数或附件数量的遗缺，任何数字或词汇模糊不清，任何词义含混不清，应告之采购代理机构补全或澄清。如果供应商不按上述提出要求而造成不良后果，采购代理机构不承担责任。</w:t>
      </w:r>
    </w:p>
    <w:p w14:paraId="2F7F39A0">
      <w:pPr>
        <w:pStyle w:val="4"/>
        <w:spacing w:line="400" w:lineRule="exact"/>
        <w:ind w:firstLine="562" w:firstLineChars="200"/>
        <w:rPr>
          <w:rFonts w:ascii="仿宋" w:hAnsi="仿宋" w:eastAsia="仿宋" w:cs="仿宋"/>
          <w:color w:val="auto"/>
          <w:sz w:val="28"/>
          <w:szCs w:val="28"/>
          <w:highlight w:val="none"/>
        </w:rPr>
      </w:pPr>
      <w:bookmarkStart w:id="55" w:name="_Toc183682348"/>
      <w:bookmarkStart w:id="56" w:name="_Toc183582211"/>
      <w:bookmarkStart w:id="57" w:name="_Toc16279"/>
      <w:bookmarkStart w:id="58" w:name="_Toc318"/>
      <w:bookmarkStart w:id="59" w:name="_Toc217446040"/>
      <w:r>
        <w:rPr>
          <w:rFonts w:hint="eastAsia" w:ascii="仿宋" w:hAnsi="仿宋" w:eastAsia="仿宋" w:cs="仿宋"/>
          <w:color w:val="auto"/>
          <w:sz w:val="28"/>
          <w:szCs w:val="28"/>
          <w:highlight w:val="none"/>
        </w:rPr>
        <w:t>7.磋商文件的澄清</w:t>
      </w:r>
      <w:bookmarkEnd w:id="55"/>
      <w:bookmarkEnd w:id="56"/>
      <w:r>
        <w:rPr>
          <w:rFonts w:hint="eastAsia" w:ascii="仿宋" w:hAnsi="仿宋" w:eastAsia="仿宋" w:cs="仿宋"/>
          <w:color w:val="auto"/>
          <w:sz w:val="28"/>
          <w:szCs w:val="28"/>
          <w:highlight w:val="none"/>
        </w:rPr>
        <w:t>和修改</w:t>
      </w:r>
      <w:bookmarkEnd w:id="57"/>
      <w:bookmarkEnd w:id="58"/>
      <w:bookmarkEnd w:id="59"/>
    </w:p>
    <w:p w14:paraId="045EA119">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 在递交响应文件截止时间前，采购人可以对磋商文件进行澄清或者修改。</w:t>
      </w:r>
    </w:p>
    <w:p w14:paraId="5D1E0865">
      <w:pPr>
        <w:tabs>
          <w:tab w:val="left" w:pos="7665"/>
        </w:tabs>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 采购人对已发出的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文件进行澄清或者修改，须在《乐山市国有企业阳光采购服务平台》上发布更正公告，该澄清或者修改的内容为</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文件的组成部分；澄清或者修改的内容可能影响</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文件编制的，采购人应当在</w:t>
      </w:r>
      <w:r>
        <w:rPr>
          <w:rFonts w:hint="eastAsia" w:ascii="仿宋" w:hAnsi="仿宋" w:eastAsia="仿宋" w:cs="仿宋"/>
          <w:color w:val="auto"/>
          <w:sz w:val="28"/>
          <w:szCs w:val="28"/>
          <w:highlight w:val="none"/>
          <w:lang w:val="en-US" w:eastAsia="zh-CN"/>
        </w:rPr>
        <w:t>提交首次响应文件截止时间至少5日前</w:t>
      </w:r>
      <w:r>
        <w:rPr>
          <w:rFonts w:hint="eastAsia" w:ascii="仿宋" w:hAnsi="仿宋" w:eastAsia="仿宋" w:cs="仿宋"/>
          <w:color w:val="auto"/>
          <w:sz w:val="28"/>
          <w:szCs w:val="28"/>
          <w:highlight w:val="none"/>
        </w:rPr>
        <w:t>通知所有获取</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文件的潜在</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，不足</w:t>
      </w:r>
      <w:r>
        <w:rPr>
          <w:rFonts w:hint="eastAsia" w:ascii="仿宋" w:hAnsi="仿宋" w:eastAsia="仿宋" w:cs="仿宋"/>
          <w:color w:val="auto"/>
          <w:sz w:val="28"/>
          <w:szCs w:val="28"/>
          <w:highlight w:val="none"/>
          <w:lang w:val="en-US" w:eastAsia="zh-CN"/>
        </w:rPr>
        <w:t>上述时间的</w:t>
      </w:r>
      <w:r>
        <w:rPr>
          <w:rFonts w:hint="eastAsia" w:ascii="仿宋" w:hAnsi="仿宋" w:eastAsia="仿宋" w:cs="仿宋"/>
          <w:color w:val="auto"/>
          <w:sz w:val="28"/>
          <w:szCs w:val="28"/>
          <w:highlight w:val="none"/>
        </w:rPr>
        <w:t>，应当顺延提交</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文件的截止时间。</w:t>
      </w:r>
    </w:p>
    <w:p w14:paraId="66FFF531">
      <w:pPr>
        <w:tabs>
          <w:tab w:val="left" w:pos="7665"/>
        </w:tabs>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7.3 </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应于</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文件递交截止时间之前在《乐山市国有企业阳光采购服务平台》查询本项目的更正公告，并下载更正后的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应依据更正后的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文件编制</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文件。若</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未按要求下载相关文件，或由于未及时关注更正公告的信息造成的后果，其责任由</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自行承担。</w:t>
      </w:r>
    </w:p>
    <w:p w14:paraId="1EE42DE2">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7.4 </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认为需要对</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文件进行澄清或者修改的，可以在提交首次</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文件截止之日前向采购代理机构提出申请，由采购</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决定是否采纳</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的申请事项。</w:t>
      </w:r>
      <w:bookmarkStart w:id="60" w:name="_Toc208848971"/>
      <w:bookmarkStart w:id="61" w:name="_Toc217446041"/>
    </w:p>
    <w:p w14:paraId="301A8399">
      <w:pPr>
        <w:pStyle w:val="4"/>
        <w:spacing w:line="400" w:lineRule="exact"/>
        <w:ind w:firstLine="562" w:firstLineChars="200"/>
        <w:rPr>
          <w:rFonts w:ascii="仿宋" w:hAnsi="仿宋" w:eastAsia="仿宋" w:cs="仿宋"/>
          <w:color w:val="auto"/>
          <w:sz w:val="28"/>
          <w:szCs w:val="28"/>
          <w:highlight w:val="none"/>
        </w:rPr>
      </w:pPr>
      <w:bookmarkStart w:id="62" w:name="_Toc2441"/>
      <w:bookmarkStart w:id="63" w:name="_Toc4467"/>
      <w:r>
        <w:rPr>
          <w:rFonts w:hint="eastAsia" w:ascii="仿宋" w:hAnsi="仿宋" w:eastAsia="仿宋" w:cs="仿宋"/>
          <w:color w:val="auto"/>
          <w:sz w:val="28"/>
          <w:szCs w:val="28"/>
          <w:highlight w:val="none"/>
        </w:rPr>
        <w:t>8.答疑会和现场考察</w:t>
      </w:r>
      <w:bookmarkEnd w:id="60"/>
      <w:bookmarkEnd w:id="61"/>
      <w:bookmarkEnd w:id="62"/>
      <w:bookmarkEnd w:id="63"/>
    </w:p>
    <w:p w14:paraId="79D3877F">
      <w:pPr>
        <w:tabs>
          <w:tab w:val="left" w:pos="7665"/>
        </w:tabs>
        <w:spacing w:line="560" w:lineRule="exact"/>
        <w:ind w:firstLine="560" w:firstLineChars="200"/>
        <w:rPr>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b w:val="0"/>
          <w:bCs/>
          <w:color w:val="auto"/>
          <w:sz w:val="28"/>
          <w:szCs w:val="28"/>
          <w:highlight w:val="none"/>
        </w:rPr>
        <w:t>不组织</w:t>
      </w:r>
      <w:r>
        <w:rPr>
          <w:rFonts w:hint="eastAsia" w:ascii="仿宋" w:hAnsi="仿宋" w:eastAsia="仿宋" w:cs="仿宋"/>
          <w:color w:val="auto"/>
          <w:sz w:val="28"/>
          <w:szCs w:val="28"/>
          <w:highlight w:val="none"/>
        </w:rPr>
        <w:t>现场考察或者召开答疑会。</w:t>
      </w:r>
    </w:p>
    <w:p w14:paraId="108C2553">
      <w:pPr>
        <w:spacing w:before="260" w:after="260"/>
        <w:jc w:val="center"/>
        <w:outlineLvl w:val="1"/>
        <w:rPr>
          <w:rFonts w:ascii="仿宋" w:hAnsi="仿宋" w:eastAsia="仿宋" w:cs="仿宋"/>
          <w:b/>
          <w:bCs/>
          <w:color w:val="auto"/>
          <w:sz w:val="28"/>
          <w:szCs w:val="28"/>
          <w:highlight w:val="none"/>
        </w:rPr>
      </w:pPr>
      <w:bookmarkStart w:id="64" w:name="_Toc183682351"/>
      <w:bookmarkStart w:id="65" w:name="_Toc77400780"/>
      <w:bookmarkStart w:id="66" w:name="_Toc183582214"/>
      <w:bookmarkStart w:id="67" w:name="_Toc217446042"/>
      <w:bookmarkStart w:id="68" w:name="_Toc89075876"/>
      <w:r>
        <w:rPr>
          <w:rFonts w:hint="eastAsia" w:ascii="仿宋" w:hAnsi="仿宋" w:eastAsia="仿宋" w:cs="仿宋"/>
          <w:b/>
          <w:bCs/>
          <w:color w:val="auto"/>
          <w:sz w:val="28"/>
          <w:szCs w:val="28"/>
          <w:highlight w:val="none"/>
        </w:rPr>
        <w:t>四、响应文件</w:t>
      </w:r>
      <w:bookmarkEnd w:id="64"/>
      <w:bookmarkEnd w:id="65"/>
      <w:bookmarkEnd w:id="66"/>
      <w:bookmarkEnd w:id="67"/>
      <w:bookmarkEnd w:id="68"/>
    </w:p>
    <w:p w14:paraId="50753B0D">
      <w:pPr>
        <w:pStyle w:val="4"/>
        <w:spacing w:line="400" w:lineRule="exact"/>
        <w:ind w:firstLine="562" w:firstLineChars="200"/>
        <w:rPr>
          <w:rFonts w:ascii="仿宋" w:hAnsi="仿宋" w:eastAsia="仿宋" w:cs="仿宋"/>
          <w:color w:val="auto"/>
          <w:sz w:val="28"/>
          <w:szCs w:val="28"/>
          <w:highlight w:val="none"/>
        </w:rPr>
      </w:pPr>
      <w:bookmarkStart w:id="69" w:name="_Toc11561"/>
      <w:bookmarkStart w:id="70" w:name="_Toc24527"/>
      <w:bookmarkStart w:id="71" w:name="_Toc183682352"/>
      <w:bookmarkStart w:id="72" w:name="_Toc183582215"/>
      <w:bookmarkStart w:id="73" w:name="_Toc217446043"/>
      <w:r>
        <w:rPr>
          <w:rFonts w:hint="eastAsia" w:ascii="仿宋" w:hAnsi="仿宋" w:eastAsia="仿宋" w:cs="仿宋"/>
          <w:color w:val="auto"/>
          <w:sz w:val="28"/>
          <w:szCs w:val="28"/>
          <w:highlight w:val="none"/>
        </w:rPr>
        <w:t>9.响应文件的组成</w:t>
      </w:r>
      <w:bookmarkEnd w:id="69"/>
      <w:bookmarkEnd w:id="70"/>
    </w:p>
    <w:p w14:paraId="3D4614B5">
      <w:pPr>
        <w:spacing w:line="560" w:lineRule="exact"/>
        <w:ind w:firstLine="562" w:firstLineChars="200"/>
        <w:rPr>
          <w:rFonts w:ascii="仿宋" w:hAnsi="仿宋" w:eastAsia="仿宋"/>
          <w:color w:val="auto"/>
          <w:sz w:val="28"/>
          <w:szCs w:val="28"/>
          <w:highlight w:val="none"/>
        </w:rPr>
      </w:pPr>
      <w:r>
        <w:rPr>
          <w:rFonts w:hint="eastAsia" w:ascii="仿宋" w:hAnsi="仿宋" w:eastAsia="仿宋"/>
          <w:b/>
          <w:bCs/>
          <w:color w:val="auto"/>
          <w:sz w:val="28"/>
          <w:szCs w:val="28"/>
          <w:highlight w:val="none"/>
        </w:rPr>
        <w:t>9.1</w:t>
      </w:r>
      <w:r>
        <w:rPr>
          <w:rFonts w:hint="eastAsia" w:ascii="仿宋" w:hAnsi="仿宋" w:eastAsia="仿宋"/>
          <w:color w:val="auto"/>
          <w:sz w:val="28"/>
          <w:szCs w:val="28"/>
          <w:highlight w:val="none"/>
        </w:rPr>
        <w:t>供应商应按照</w:t>
      </w:r>
      <w:r>
        <w:rPr>
          <w:rFonts w:hint="eastAsia" w:ascii="仿宋" w:hAnsi="仿宋" w:eastAsia="仿宋"/>
          <w:color w:val="auto"/>
          <w:sz w:val="28"/>
          <w:szCs w:val="28"/>
          <w:highlight w:val="none"/>
          <w:lang w:eastAsia="zh-CN"/>
        </w:rPr>
        <w:t>磋商文件</w:t>
      </w:r>
      <w:r>
        <w:rPr>
          <w:rFonts w:hint="eastAsia" w:ascii="仿宋" w:hAnsi="仿宋" w:eastAsia="仿宋"/>
          <w:color w:val="auto"/>
          <w:sz w:val="28"/>
          <w:szCs w:val="28"/>
          <w:highlight w:val="none"/>
        </w:rPr>
        <w:t>的规定和要求编制响应文件。供应商在成交后将成交项目的非主体、非关键性工作分包他人完成的，应当在响应文件中载明或</w:t>
      </w:r>
      <w:r>
        <w:rPr>
          <w:rFonts w:hint="eastAsia" w:ascii="仿宋" w:hAnsi="仿宋" w:eastAsia="仿宋"/>
          <w:color w:val="auto"/>
          <w:sz w:val="28"/>
          <w:szCs w:val="28"/>
          <w:highlight w:val="none"/>
          <w:lang w:eastAsia="zh-CN"/>
        </w:rPr>
        <w:t>磋商</w:t>
      </w:r>
      <w:r>
        <w:rPr>
          <w:rFonts w:hint="eastAsia" w:ascii="仿宋" w:hAnsi="仿宋" w:eastAsia="仿宋"/>
          <w:color w:val="auto"/>
          <w:sz w:val="28"/>
          <w:szCs w:val="28"/>
          <w:highlight w:val="none"/>
        </w:rPr>
        <w:t>过程中澄清。</w:t>
      </w:r>
    </w:p>
    <w:p w14:paraId="09B43D6E">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9.</w:t>
      </w:r>
      <w:r>
        <w:rPr>
          <w:rFonts w:hint="eastAsia" w:ascii="仿宋" w:hAnsi="仿宋" w:eastAsia="仿宋"/>
          <w:color w:val="auto"/>
          <w:sz w:val="28"/>
          <w:szCs w:val="28"/>
          <w:highlight w:val="none"/>
          <w:lang w:val="en-US" w:eastAsia="zh-CN"/>
        </w:rPr>
        <w:t>2</w:t>
      </w:r>
      <w:r>
        <w:rPr>
          <w:rFonts w:hint="eastAsia" w:ascii="仿宋" w:hAnsi="仿宋" w:eastAsia="仿宋"/>
          <w:color w:val="auto"/>
          <w:sz w:val="28"/>
          <w:szCs w:val="28"/>
          <w:highlight w:val="none"/>
        </w:rPr>
        <w:t>供应商编写的响应文件应包括的内容见本文件第八章，对于没有格式要求的部分由供应商自行编写。</w:t>
      </w:r>
    </w:p>
    <w:p w14:paraId="2030B142">
      <w:pPr>
        <w:pStyle w:val="4"/>
        <w:spacing w:line="400" w:lineRule="exact"/>
        <w:ind w:firstLine="562" w:firstLineChars="200"/>
        <w:rPr>
          <w:rFonts w:ascii="仿宋" w:hAnsi="仿宋" w:eastAsia="仿宋" w:cs="仿宋"/>
          <w:color w:val="auto"/>
          <w:sz w:val="28"/>
          <w:szCs w:val="28"/>
          <w:highlight w:val="none"/>
        </w:rPr>
      </w:pPr>
      <w:bookmarkStart w:id="74" w:name="_Toc9466"/>
      <w:bookmarkStart w:id="75" w:name="_Toc17365"/>
      <w:r>
        <w:rPr>
          <w:rFonts w:hint="eastAsia" w:ascii="仿宋" w:hAnsi="仿宋" w:eastAsia="仿宋" w:cs="仿宋"/>
          <w:color w:val="auto"/>
          <w:sz w:val="28"/>
          <w:szCs w:val="28"/>
          <w:highlight w:val="none"/>
        </w:rPr>
        <w:t>10.响应文件的语言</w:t>
      </w:r>
      <w:bookmarkEnd w:id="71"/>
      <w:bookmarkEnd w:id="72"/>
      <w:bookmarkEnd w:id="73"/>
      <w:r>
        <w:rPr>
          <w:rFonts w:hint="eastAsia" w:ascii="仿宋" w:hAnsi="仿宋" w:eastAsia="仿宋" w:cs="仿宋"/>
          <w:color w:val="auto"/>
          <w:sz w:val="28"/>
          <w:szCs w:val="28"/>
          <w:highlight w:val="none"/>
        </w:rPr>
        <w:t>（实质性要求）</w:t>
      </w:r>
      <w:bookmarkEnd w:id="74"/>
      <w:bookmarkEnd w:id="75"/>
    </w:p>
    <w:p w14:paraId="20FD5CA9">
      <w:pPr>
        <w:spacing w:line="560" w:lineRule="exact"/>
        <w:ind w:firstLine="560" w:firstLineChars="200"/>
        <w:rPr>
          <w:rFonts w:ascii="仿宋" w:hAnsi="仿宋" w:eastAsia="仿宋" w:cs="仿宋"/>
          <w:color w:val="auto"/>
          <w:sz w:val="28"/>
          <w:szCs w:val="28"/>
          <w:highlight w:val="none"/>
        </w:rPr>
      </w:pPr>
      <w:bookmarkStart w:id="76" w:name="_Toc183682353"/>
      <w:bookmarkStart w:id="77" w:name="_Toc217446044"/>
      <w:bookmarkStart w:id="78" w:name="_Toc183582216"/>
      <w:r>
        <w:rPr>
          <w:rFonts w:hint="eastAsia" w:ascii="仿宋" w:hAnsi="仿宋" w:eastAsia="仿宋" w:cs="仿宋"/>
          <w:color w:val="auto"/>
          <w:sz w:val="28"/>
          <w:szCs w:val="28"/>
          <w:highlight w:val="none"/>
        </w:rPr>
        <w:t>10.1 供应商提交的响应文件以及供应商与招标采购单位就有关投标响应的所有来往书面文件均须使用中文。响应文件中如附有外文资料，供应商须自行对照翻译成中文并加盖供应商公章后附在相关外文资料后面，否则，所提供的外文资料将可能被视为无效材料。（说明：供应商的法定代表人为外籍人士的，法定代表人的签字和护照除外。）</w:t>
      </w:r>
    </w:p>
    <w:p w14:paraId="42922A6E">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 翻译的中文资料与外文资料如果出现差异和矛盾，以中文为准。涉嫌虚假响应的按照相关法律法规处理。</w:t>
      </w:r>
    </w:p>
    <w:p w14:paraId="6839E480">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10.3响应文件中供应商针对综合评分明细表所提供的佐证材料不作为本项实质性要求的审查内容。</w:t>
      </w:r>
    </w:p>
    <w:p w14:paraId="7BE925F2">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10.4评分表中供应商提供的佐证材料涉及外文的，需提供原版证书复印件，并公证翻译为中文，未公证翻译的视为无效材料，作不得分处理。</w:t>
      </w:r>
    </w:p>
    <w:p w14:paraId="78D0DDFA">
      <w:pPr>
        <w:pStyle w:val="4"/>
        <w:spacing w:line="400" w:lineRule="exact"/>
        <w:ind w:firstLine="562" w:firstLineChars="200"/>
        <w:rPr>
          <w:rFonts w:ascii="仿宋" w:hAnsi="仿宋" w:eastAsia="仿宋" w:cs="仿宋"/>
          <w:color w:val="auto"/>
          <w:sz w:val="28"/>
          <w:szCs w:val="28"/>
          <w:highlight w:val="none"/>
        </w:rPr>
      </w:pPr>
      <w:bookmarkStart w:id="79" w:name="_Toc10586"/>
      <w:bookmarkStart w:id="80" w:name="_Toc32052"/>
      <w:r>
        <w:rPr>
          <w:rFonts w:hint="eastAsia" w:ascii="仿宋" w:hAnsi="仿宋" w:eastAsia="仿宋" w:cs="仿宋"/>
          <w:color w:val="auto"/>
          <w:sz w:val="28"/>
          <w:szCs w:val="28"/>
          <w:highlight w:val="none"/>
        </w:rPr>
        <w:t>11.计量单位</w:t>
      </w:r>
      <w:bookmarkEnd w:id="76"/>
      <w:bookmarkEnd w:id="77"/>
      <w:bookmarkEnd w:id="78"/>
      <w:r>
        <w:rPr>
          <w:rFonts w:hint="eastAsia" w:ascii="仿宋" w:hAnsi="仿宋" w:eastAsia="仿宋" w:cs="仿宋"/>
          <w:color w:val="auto"/>
          <w:sz w:val="28"/>
          <w:szCs w:val="28"/>
          <w:highlight w:val="none"/>
        </w:rPr>
        <w:t>（实质性要求）</w:t>
      </w:r>
      <w:bookmarkEnd w:id="79"/>
      <w:bookmarkEnd w:id="80"/>
    </w:p>
    <w:p w14:paraId="2EBD1540">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除磋商文件中另有规定外，本次采购项目所有合同项下的报价均采用国家法定的计量单位。</w:t>
      </w:r>
    </w:p>
    <w:p w14:paraId="6DEB396D">
      <w:pPr>
        <w:pStyle w:val="4"/>
        <w:spacing w:line="400" w:lineRule="exact"/>
        <w:ind w:firstLine="562" w:firstLineChars="200"/>
        <w:rPr>
          <w:rFonts w:ascii="仿宋" w:hAnsi="仿宋" w:eastAsia="仿宋" w:cs="仿宋"/>
          <w:color w:val="auto"/>
          <w:sz w:val="28"/>
          <w:szCs w:val="28"/>
          <w:highlight w:val="none"/>
        </w:rPr>
      </w:pPr>
      <w:bookmarkStart w:id="81" w:name="_Toc15941"/>
      <w:bookmarkStart w:id="82" w:name="_Toc1887"/>
      <w:bookmarkStart w:id="83" w:name="_Toc217446045"/>
      <w:r>
        <w:rPr>
          <w:rFonts w:hint="eastAsia" w:ascii="仿宋" w:hAnsi="仿宋" w:eastAsia="仿宋" w:cs="仿宋"/>
          <w:color w:val="auto"/>
          <w:sz w:val="28"/>
          <w:szCs w:val="28"/>
          <w:highlight w:val="none"/>
        </w:rPr>
        <w:t>12.报价货币（实质性要求）</w:t>
      </w:r>
      <w:bookmarkEnd w:id="81"/>
      <w:bookmarkEnd w:id="82"/>
    </w:p>
    <w:p w14:paraId="358EE416">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本次磋商项目的报价货币为人民币，报价以磋商文件规定为准。</w:t>
      </w:r>
    </w:p>
    <w:p w14:paraId="2FB433A7">
      <w:pPr>
        <w:pStyle w:val="4"/>
        <w:spacing w:line="400" w:lineRule="exact"/>
        <w:ind w:firstLine="562" w:firstLineChars="200"/>
        <w:rPr>
          <w:rFonts w:ascii="仿宋" w:hAnsi="仿宋" w:eastAsia="仿宋" w:cs="仿宋"/>
          <w:color w:val="auto"/>
          <w:sz w:val="28"/>
          <w:szCs w:val="28"/>
          <w:highlight w:val="none"/>
        </w:rPr>
      </w:pPr>
      <w:bookmarkStart w:id="84" w:name="_Toc6920"/>
      <w:bookmarkStart w:id="85" w:name="_Toc24579"/>
      <w:r>
        <w:rPr>
          <w:rFonts w:hint="eastAsia" w:ascii="仿宋" w:hAnsi="仿宋" w:eastAsia="仿宋" w:cs="仿宋"/>
          <w:color w:val="auto"/>
          <w:sz w:val="28"/>
          <w:szCs w:val="28"/>
          <w:highlight w:val="none"/>
        </w:rPr>
        <w:t>13.联合体竞争性磋商（实质性要求）</w:t>
      </w:r>
      <w:bookmarkEnd w:id="84"/>
      <w:bookmarkEnd w:id="85"/>
    </w:p>
    <w:p w14:paraId="322247E9">
      <w:pPr>
        <w:tabs>
          <w:tab w:val="left" w:pos="7665"/>
        </w:tabs>
        <w:spacing w:line="56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val="en-US" w:eastAsia="zh-CN"/>
        </w:rPr>
        <w:t>不</w:t>
      </w:r>
      <w:r>
        <w:rPr>
          <w:rFonts w:hint="eastAsia" w:ascii="仿宋" w:hAnsi="仿宋" w:eastAsia="仿宋" w:cs="仿宋"/>
          <w:color w:val="auto"/>
          <w:sz w:val="28"/>
          <w:szCs w:val="28"/>
          <w:highlight w:val="none"/>
        </w:rPr>
        <w:t>接受联合体参与采购活动。</w:t>
      </w:r>
    </w:p>
    <w:p w14:paraId="7F51064E">
      <w:pPr>
        <w:pStyle w:val="4"/>
        <w:spacing w:line="400" w:lineRule="exact"/>
        <w:ind w:firstLine="562" w:firstLineChars="200"/>
        <w:rPr>
          <w:rFonts w:ascii="仿宋" w:hAnsi="仿宋" w:eastAsia="仿宋" w:cs="仿宋"/>
          <w:color w:val="auto"/>
          <w:sz w:val="28"/>
          <w:szCs w:val="28"/>
          <w:highlight w:val="none"/>
        </w:rPr>
      </w:pPr>
      <w:bookmarkStart w:id="86" w:name="_Toc27977"/>
      <w:bookmarkStart w:id="87" w:name="_Toc25265"/>
      <w:r>
        <w:rPr>
          <w:rFonts w:hint="eastAsia" w:ascii="仿宋" w:hAnsi="仿宋" w:eastAsia="仿宋" w:cs="仿宋"/>
          <w:color w:val="auto"/>
          <w:sz w:val="28"/>
          <w:szCs w:val="28"/>
          <w:highlight w:val="none"/>
        </w:rPr>
        <w:t>14.知识产权（实质性要求）</w:t>
      </w:r>
      <w:bookmarkEnd w:id="86"/>
      <w:bookmarkEnd w:id="87"/>
    </w:p>
    <w:p w14:paraId="4171158C">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14:paraId="0DCE8115">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 除非磋商文件特别规定，采购人享有本项目实施过程中产生的知识成果及知识产权。</w:t>
      </w:r>
    </w:p>
    <w:p w14:paraId="689A1B1C">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14.3供应商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含采购人委托第三方在该项目后续开发的使用权）。</w:t>
      </w:r>
    </w:p>
    <w:p w14:paraId="03913091">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14.4 如采用供应商所不拥有的知识产权，则在报价中必须包括合法获取该知识产权的相关费用。</w:t>
      </w:r>
    </w:p>
    <w:p w14:paraId="13AF42D8">
      <w:pPr>
        <w:pStyle w:val="11"/>
        <w:ind w:firstLine="562" w:firstLineChars="200"/>
        <w:rPr>
          <w:color w:val="auto"/>
          <w:sz w:val="28"/>
          <w:szCs w:val="28"/>
          <w:highlight w:val="none"/>
        </w:rPr>
      </w:pPr>
      <w:r>
        <w:rPr>
          <w:rFonts w:hint="eastAsia" w:ascii="仿宋" w:hAnsi="仿宋" w:eastAsia="仿宋" w:cs="仿宋"/>
          <w:b/>
          <w:color w:val="auto"/>
          <w:sz w:val="28"/>
          <w:szCs w:val="28"/>
          <w:highlight w:val="none"/>
        </w:rPr>
        <w:t xml:space="preserve">14.5 </w:t>
      </w:r>
      <w:r>
        <w:rPr>
          <w:rFonts w:hint="eastAsia" w:ascii="仿宋" w:hAnsi="仿宋" w:eastAsia="仿宋" w:cs="仿宋"/>
          <w:b/>
          <w:color w:val="auto"/>
          <w:sz w:val="28"/>
          <w:szCs w:val="28"/>
          <w:highlight w:val="none"/>
          <w:lang w:eastAsia="zh-CN"/>
        </w:rPr>
        <w:t>供应商</w:t>
      </w:r>
      <w:r>
        <w:rPr>
          <w:rFonts w:hint="eastAsia" w:ascii="仿宋" w:hAnsi="仿宋" w:eastAsia="仿宋" w:cs="仿宋"/>
          <w:b/>
          <w:color w:val="auto"/>
          <w:sz w:val="28"/>
          <w:szCs w:val="28"/>
          <w:highlight w:val="none"/>
        </w:rPr>
        <w:t>应对本条款作全面承诺，否则作无效</w:t>
      </w:r>
      <w:r>
        <w:rPr>
          <w:rFonts w:hint="eastAsia" w:ascii="仿宋" w:hAnsi="仿宋" w:eastAsia="仿宋" w:cs="仿宋"/>
          <w:b/>
          <w:color w:val="auto"/>
          <w:sz w:val="28"/>
          <w:szCs w:val="28"/>
          <w:highlight w:val="none"/>
          <w:lang w:val="en-US" w:eastAsia="zh-CN"/>
        </w:rPr>
        <w:t>响应</w:t>
      </w:r>
      <w:r>
        <w:rPr>
          <w:rFonts w:hint="eastAsia" w:ascii="仿宋" w:hAnsi="仿宋" w:eastAsia="仿宋" w:cs="仿宋"/>
          <w:b/>
          <w:color w:val="auto"/>
          <w:sz w:val="28"/>
          <w:szCs w:val="28"/>
          <w:highlight w:val="none"/>
        </w:rPr>
        <w:t>处理。</w:t>
      </w:r>
      <w:r>
        <w:rPr>
          <w:rFonts w:hint="eastAsia" w:ascii="仿宋" w:hAnsi="仿宋" w:eastAsia="仿宋" w:cs="仿宋"/>
          <w:color w:val="auto"/>
          <w:sz w:val="28"/>
          <w:szCs w:val="28"/>
          <w:highlight w:val="none"/>
        </w:rPr>
        <w:t xml:space="preserve"> </w:t>
      </w:r>
    </w:p>
    <w:p w14:paraId="58D477CE">
      <w:pPr>
        <w:pStyle w:val="4"/>
        <w:spacing w:line="400" w:lineRule="exact"/>
        <w:ind w:firstLine="562" w:firstLineChars="200"/>
        <w:rPr>
          <w:rFonts w:ascii="仿宋" w:hAnsi="仿宋" w:eastAsia="仿宋" w:cs="仿宋"/>
          <w:color w:val="auto"/>
          <w:sz w:val="28"/>
          <w:szCs w:val="28"/>
          <w:highlight w:val="none"/>
        </w:rPr>
      </w:pPr>
      <w:bookmarkStart w:id="88" w:name="_Toc18116"/>
      <w:bookmarkStart w:id="89" w:name="_Toc9112"/>
      <w:r>
        <w:rPr>
          <w:rFonts w:hint="eastAsia" w:ascii="仿宋" w:hAnsi="仿宋" w:eastAsia="仿宋" w:cs="仿宋"/>
          <w:color w:val="auto"/>
          <w:sz w:val="28"/>
          <w:szCs w:val="28"/>
          <w:highlight w:val="none"/>
        </w:rPr>
        <w:t>15.响应文件格式</w:t>
      </w:r>
      <w:bookmarkEnd w:id="88"/>
      <w:bookmarkEnd w:id="89"/>
    </w:p>
    <w:p w14:paraId="58DE30BC">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 供应商应执行磋商文件第八章的规定要求。</w:t>
      </w:r>
    </w:p>
    <w:p w14:paraId="625C72A0">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15.2 对于没有格式要求的磋商文件由供应商自行编写。</w:t>
      </w:r>
    </w:p>
    <w:p w14:paraId="20F4F8A3">
      <w:pPr>
        <w:pStyle w:val="4"/>
        <w:spacing w:line="400" w:lineRule="exact"/>
        <w:ind w:firstLine="562" w:firstLineChars="200"/>
        <w:rPr>
          <w:rFonts w:hint="eastAsia" w:ascii="仿宋" w:hAnsi="仿宋" w:eastAsia="仿宋" w:cs="仿宋"/>
          <w:color w:val="auto"/>
          <w:sz w:val="28"/>
          <w:szCs w:val="28"/>
          <w:highlight w:val="none"/>
        </w:rPr>
      </w:pPr>
      <w:bookmarkStart w:id="90" w:name="_Toc24677"/>
      <w:bookmarkStart w:id="91" w:name="_Toc1382"/>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投标保证金</w:t>
      </w:r>
      <w:r>
        <w:rPr>
          <w:rFonts w:hint="eastAsia" w:ascii="仿宋" w:hAnsi="仿宋" w:eastAsia="仿宋" w:cs="仿宋"/>
          <w:color w:val="auto"/>
          <w:sz w:val="28"/>
          <w:szCs w:val="28"/>
          <w:highlight w:val="none"/>
        </w:rPr>
        <w:t>（实质性要求）</w:t>
      </w:r>
      <w:bookmarkEnd w:id="90"/>
      <w:bookmarkEnd w:id="91"/>
    </w:p>
    <w:p w14:paraId="3FA25521">
      <w:pPr>
        <w:shd w:val="clear"/>
        <w:tabs>
          <w:tab w:val="left" w:pos="7665"/>
        </w:tabs>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16.1本项目不收取。</w:t>
      </w:r>
    </w:p>
    <w:p w14:paraId="0E747687">
      <w:pPr>
        <w:pStyle w:val="4"/>
        <w:spacing w:line="400" w:lineRule="exact"/>
        <w:ind w:firstLine="562" w:firstLineChars="200"/>
        <w:rPr>
          <w:rFonts w:ascii="仿宋" w:hAnsi="仿宋" w:eastAsia="仿宋" w:cs="仿宋"/>
          <w:color w:val="auto"/>
          <w:sz w:val="28"/>
          <w:szCs w:val="28"/>
          <w:highlight w:val="none"/>
        </w:rPr>
      </w:pPr>
      <w:bookmarkStart w:id="92" w:name="_Toc25447"/>
      <w:bookmarkStart w:id="93" w:name="_Toc28160"/>
      <w:r>
        <w:rPr>
          <w:rFonts w:hint="eastAsia" w:ascii="仿宋" w:hAnsi="仿宋" w:eastAsia="仿宋" w:cs="仿宋"/>
          <w:color w:val="auto"/>
          <w:sz w:val="28"/>
          <w:szCs w:val="28"/>
          <w:highlight w:val="none"/>
        </w:rPr>
        <w:t>17.响应文件有效期（实质性要求）</w:t>
      </w:r>
      <w:bookmarkEnd w:id="92"/>
      <w:bookmarkEnd w:id="93"/>
    </w:p>
    <w:p w14:paraId="552F8A5E">
      <w:pPr>
        <w:tabs>
          <w:tab w:val="left" w:pos="7665"/>
        </w:tabs>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17.1本项目磋商有效期为递交磋商响应文件截止之日起</w:t>
      </w:r>
      <w:r>
        <w:rPr>
          <w:rFonts w:hint="eastAsia" w:ascii="仿宋" w:hAnsi="仿宋" w:eastAsia="仿宋" w:cs="仿宋"/>
          <w:b/>
          <w:bCs/>
          <w:color w:val="auto"/>
          <w:sz w:val="28"/>
          <w:szCs w:val="28"/>
          <w:highlight w:val="none"/>
        </w:rPr>
        <w:t>60</w:t>
      </w:r>
      <w:r>
        <w:rPr>
          <w:rFonts w:hint="eastAsia" w:ascii="仿宋" w:hAnsi="仿宋" w:eastAsia="仿宋" w:cs="仿宋"/>
          <w:color w:val="auto"/>
          <w:sz w:val="28"/>
          <w:szCs w:val="28"/>
          <w:highlight w:val="none"/>
        </w:rPr>
        <w:t>天。供应商在响应文件中必须载明磋商有效期，响应文件中载明的磋商有效期不得短于磋商文件规定的期限。否则，其响应文件将作为无效处理。</w:t>
      </w:r>
    </w:p>
    <w:p w14:paraId="087E18C5">
      <w:pPr>
        <w:tabs>
          <w:tab w:val="left" w:pos="7665"/>
        </w:tabs>
        <w:spacing w:line="560" w:lineRule="exact"/>
        <w:ind w:firstLine="560" w:firstLineChars="200"/>
        <w:rPr>
          <w:color w:val="auto"/>
          <w:sz w:val="28"/>
          <w:szCs w:val="28"/>
          <w:highlight w:val="none"/>
        </w:rPr>
      </w:pPr>
      <w:r>
        <w:rPr>
          <w:rFonts w:hint="eastAsia" w:ascii="仿宋" w:hAnsi="仿宋" w:eastAsia="仿宋" w:cs="仿宋"/>
          <w:color w:val="auto"/>
          <w:sz w:val="28"/>
          <w:szCs w:val="28"/>
          <w:highlight w:val="none"/>
        </w:rPr>
        <w:t>17.2因不可抗力事件或者采购需求作出必要调整，采购人可于磋商有效期届满之前与供应商协商延长磋商有效期。供应商拒绝延长磋商有效期的，不得再参与该项目后续采购活动，但由此给供应商造成的损失，采购人应当予以赔偿或者合理补偿。供应商同意延长磋商有效期的，不能修改响应文件。</w:t>
      </w:r>
    </w:p>
    <w:bookmarkEnd w:id="83"/>
    <w:p w14:paraId="1CAC4162">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sz w:val="28"/>
          <w:szCs w:val="28"/>
        </w:rPr>
      </w:pPr>
      <w:bookmarkStart w:id="94" w:name="_Toc183682361"/>
      <w:bookmarkStart w:id="95" w:name="_Toc183582224"/>
      <w:bookmarkStart w:id="96" w:name="_Toc30102"/>
      <w:bookmarkStart w:id="97" w:name="_Toc18023"/>
      <w:bookmarkStart w:id="98" w:name="_Toc217446051"/>
      <w:r>
        <w:rPr>
          <w:rFonts w:hint="eastAsia" w:ascii="仿宋" w:hAnsi="仿宋" w:eastAsia="仿宋" w:cs="仿宋"/>
          <w:b/>
          <w:bCs/>
          <w:color w:val="auto"/>
          <w:sz w:val="28"/>
          <w:szCs w:val="28"/>
          <w:highlight w:val="none"/>
        </w:rPr>
        <w:t>18.</w:t>
      </w:r>
      <w:bookmarkEnd w:id="94"/>
      <w:bookmarkEnd w:id="95"/>
      <w:bookmarkEnd w:id="96"/>
      <w:bookmarkEnd w:id="97"/>
      <w:bookmarkEnd w:id="98"/>
      <w:bookmarkStart w:id="99" w:name="_Toc89075877"/>
      <w:bookmarkStart w:id="100" w:name="_Toc183682363"/>
      <w:bookmarkStart w:id="101" w:name="_Toc183582226"/>
      <w:bookmarkStart w:id="102" w:name="_Toc217446053"/>
      <w:bookmarkStart w:id="103" w:name="_Toc77400781"/>
      <w:r>
        <w:rPr>
          <w:rFonts w:hint="eastAsia" w:ascii="仿宋_GB2312" w:hAnsi="仿宋_GB2312" w:eastAsia="仿宋_GB2312" w:cs="仿宋_GB2312"/>
          <w:b/>
          <w:bCs/>
          <w:color w:val="auto"/>
          <w:sz w:val="28"/>
          <w:szCs w:val="28"/>
        </w:rPr>
        <w:t>响应文件的密封和递交</w:t>
      </w:r>
    </w:p>
    <w:p w14:paraId="082E705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18.1</w:t>
      </w:r>
      <w:r>
        <w:rPr>
          <w:rFonts w:hint="eastAsia" w:ascii="仿宋_GB2312" w:hAnsi="仿宋_GB2312" w:eastAsia="仿宋_GB2312" w:cs="仿宋_GB2312"/>
          <w:bCs/>
          <w:color w:val="auto"/>
          <w:sz w:val="28"/>
          <w:szCs w:val="28"/>
        </w:rPr>
        <w:t>供应商应将所有</w:t>
      </w:r>
      <w:r>
        <w:rPr>
          <w:rFonts w:hint="eastAsia" w:ascii="仿宋_GB2312" w:hAnsi="仿宋_GB2312" w:eastAsia="仿宋_GB2312" w:cs="仿宋_GB2312"/>
          <w:bCs/>
          <w:color w:val="auto"/>
          <w:sz w:val="28"/>
          <w:szCs w:val="28"/>
          <w:lang w:val="en-US" w:eastAsia="zh-CN"/>
        </w:rPr>
        <w:t>响应</w:t>
      </w:r>
      <w:r>
        <w:rPr>
          <w:rFonts w:hint="eastAsia" w:ascii="仿宋_GB2312" w:hAnsi="仿宋_GB2312" w:eastAsia="仿宋_GB2312" w:cs="仿宋_GB2312"/>
          <w:bCs/>
          <w:color w:val="auto"/>
          <w:sz w:val="28"/>
          <w:szCs w:val="28"/>
        </w:rPr>
        <w:t>文件的正本和副本分别密封，在密封带上清楚地标明“正本”或“副本”</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响应</w:t>
      </w:r>
      <w:r>
        <w:rPr>
          <w:rFonts w:hint="eastAsia" w:ascii="仿宋_GB2312" w:hAnsi="仿宋_GB2312" w:eastAsia="仿宋_GB2312" w:cs="仿宋_GB2312"/>
          <w:bCs/>
          <w:color w:val="auto"/>
          <w:sz w:val="28"/>
          <w:szCs w:val="28"/>
        </w:rPr>
        <w:t>文件电子文件U盘须与正本包在同一个封套里。</w:t>
      </w:r>
      <w:r>
        <w:rPr>
          <w:rFonts w:hint="eastAsia" w:ascii="仿宋_GB2312" w:hAnsi="仿宋_GB2312" w:eastAsia="仿宋_GB2312" w:cs="仿宋_GB2312"/>
          <w:color w:val="auto"/>
          <w:sz w:val="28"/>
          <w:szCs w:val="28"/>
        </w:rPr>
        <w:t>各参加</w:t>
      </w:r>
      <w:r>
        <w:rPr>
          <w:rFonts w:hint="eastAsia" w:ascii="仿宋_GB2312" w:hAnsi="仿宋_GB2312" w:eastAsia="仿宋_GB2312" w:cs="仿宋_GB2312"/>
          <w:color w:val="auto"/>
          <w:sz w:val="28"/>
          <w:szCs w:val="28"/>
          <w:lang w:val="en-US" w:eastAsia="zh-CN"/>
        </w:rPr>
        <w:t>磋商</w:t>
      </w:r>
      <w:r>
        <w:rPr>
          <w:rFonts w:hint="eastAsia" w:ascii="仿宋_GB2312" w:hAnsi="仿宋_GB2312" w:eastAsia="仿宋_GB2312" w:cs="仿宋_GB2312"/>
          <w:color w:val="auto"/>
          <w:sz w:val="28"/>
          <w:szCs w:val="28"/>
        </w:rPr>
        <w:t>的</w:t>
      </w:r>
      <w:r>
        <w:rPr>
          <w:rFonts w:hint="eastAsia" w:ascii="仿宋_GB2312" w:hAnsi="仿宋_GB2312" w:eastAsia="仿宋_GB2312" w:cs="仿宋_GB2312"/>
          <w:color w:val="auto"/>
          <w:sz w:val="28"/>
          <w:szCs w:val="28"/>
          <w:lang w:eastAsia="zh-CN"/>
        </w:rPr>
        <w:t>供应商</w:t>
      </w:r>
      <w:r>
        <w:rPr>
          <w:rFonts w:hint="eastAsia" w:ascii="仿宋_GB2312" w:hAnsi="仿宋_GB2312" w:eastAsia="仿宋_GB2312" w:cs="仿宋_GB2312"/>
          <w:color w:val="auto"/>
          <w:sz w:val="28"/>
          <w:szCs w:val="28"/>
        </w:rPr>
        <w:t>应在封面及密封袋上注明竞争性谈判项目名称、单位的名称及地址。</w:t>
      </w:r>
    </w:p>
    <w:p w14:paraId="1B37E2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18.2</w:t>
      </w:r>
      <w:r>
        <w:rPr>
          <w:rFonts w:hint="eastAsia" w:ascii="仿宋_GB2312" w:hAnsi="仿宋_GB2312" w:eastAsia="仿宋_GB2312" w:cs="仿宋_GB2312"/>
          <w:color w:val="auto"/>
          <w:sz w:val="28"/>
          <w:szCs w:val="28"/>
        </w:rPr>
        <w:t>密封口处应加盖单位公章。</w:t>
      </w:r>
    </w:p>
    <w:p w14:paraId="450C7A04">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18.3</w:t>
      </w:r>
      <w:r>
        <w:rPr>
          <w:rFonts w:hint="eastAsia" w:ascii="仿宋_GB2312" w:hAnsi="仿宋_GB2312" w:eastAsia="仿宋_GB2312" w:cs="仿宋_GB2312"/>
          <w:color w:val="auto"/>
          <w:sz w:val="28"/>
          <w:szCs w:val="28"/>
        </w:rPr>
        <w:t>如果响应文件未按上述要求进行密封和标注，</w:t>
      </w:r>
      <w:r>
        <w:rPr>
          <w:rFonts w:hint="eastAsia" w:ascii="仿宋_GB2312" w:hAnsi="仿宋_GB2312" w:eastAsia="仿宋_GB2312" w:cs="仿宋_GB2312"/>
          <w:color w:val="auto"/>
          <w:sz w:val="28"/>
          <w:szCs w:val="28"/>
          <w:u w:val="single"/>
          <w:lang w:eastAsia="zh-CN"/>
        </w:rPr>
        <w:t>乐山苏稽新区投资建设（集团）有限公司</w:t>
      </w:r>
      <w:r>
        <w:rPr>
          <w:rFonts w:hint="eastAsia" w:ascii="仿宋_GB2312" w:hAnsi="仿宋_GB2312" w:eastAsia="仿宋_GB2312" w:cs="仿宋_GB2312"/>
          <w:color w:val="auto"/>
          <w:sz w:val="28"/>
          <w:szCs w:val="28"/>
        </w:rPr>
        <w:t>有权拒收且不承担任何责任。</w:t>
      </w:r>
    </w:p>
    <w:p w14:paraId="6A2328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18.4</w:t>
      </w:r>
      <w:r>
        <w:rPr>
          <w:rFonts w:hint="eastAsia" w:ascii="仿宋_GB2312" w:hAnsi="仿宋_GB2312" w:eastAsia="仿宋_GB2312" w:cs="仿宋_GB2312"/>
          <w:color w:val="auto"/>
          <w:sz w:val="28"/>
          <w:szCs w:val="28"/>
        </w:rPr>
        <w:t>响应文件由各参加竞争性</w:t>
      </w:r>
      <w:r>
        <w:rPr>
          <w:rFonts w:hint="eastAsia" w:ascii="仿宋_GB2312" w:hAnsi="仿宋_GB2312" w:eastAsia="仿宋_GB2312" w:cs="仿宋_GB2312"/>
          <w:color w:val="auto"/>
          <w:sz w:val="28"/>
          <w:szCs w:val="28"/>
          <w:lang w:val="en-US" w:eastAsia="zh-CN"/>
        </w:rPr>
        <w:t>磋商</w:t>
      </w:r>
      <w:r>
        <w:rPr>
          <w:rFonts w:hint="eastAsia" w:ascii="仿宋_GB2312" w:hAnsi="仿宋_GB2312" w:eastAsia="仿宋_GB2312" w:cs="仿宋_GB2312"/>
          <w:color w:val="auto"/>
          <w:sz w:val="28"/>
          <w:szCs w:val="28"/>
        </w:rPr>
        <w:t>的授权代表在规定的递交竞争性</w:t>
      </w:r>
      <w:r>
        <w:rPr>
          <w:rFonts w:hint="eastAsia" w:ascii="仿宋_GB2312" w:hAnsi="仿宋_GB2312" w:eastAsia="仿宋_GB2312" w:cs="仿宋_GB2312"/>
          <w:color w:val="auto"/>
          <w:sz w:val="28"/>
          <w:szCs w:val="28"/>
          <w:lang w:val="en-US" w:eastAsia="zh-CN"/>
        </w:rPr>
        <w:t>磋商</w:t>
      </w:r>
      <w:r>
        <w:rPr>
          <w:rFonts w:hint="eastAsia" w:ascii="仿宋_GB2312" w:hAnsi="仿宋_GB2312" w:eastAsia="仿宋_GB2312" w:cs="仿宋_GB2312"/>
          <w:color w:val="auto"/>
          <w:sz w:val="28"/>
          <w:szCs w:val="28"/>
        </w:rPr>
        <w:t>响应文件截止时间以前带至竞争性</w:t>
      </w:r>
      <w:r>
        <w:rPr>
          <w:rFonts w:hint="eastAsia" w:ascii="仿宋_GB2312" w:hAnsi="仿宋_GB2312" w:eastAsia="仿宋_GB2312" w:cs="仿宋_GB2312"/>
          <w:color w:val="auto"/>
          <w:sz w:val="28"/>
          <w:szCs w:val="28"/>
          <w:lang w:val="en-US" w:eastAsia="zh-CN"/>
        </w:rPr>
        <w:t>磋商</w:t>
      </w:r>
      <w:r>
        <w:rPr>
          <w:rFonts w:hint="eastAsia" w:ascii="仿宋_GB2312" w:hAnsi="仿宋_GB2312" w:eastAsia="仿宋_GB2312" w:cs="仿宋_GB2312"/>
          <w:color w:val="auto"/>
          <w:sz w:val="28"/>
          <w:szCs w:val="28"/>
        </w:rPr>
        <w:t>地点。</w:t>
      </w:r>
    </w:p>
    <w:p w14:paraId="0D54FD9E">
      <w:pPr>
        <w:shd w:val="clear"/>
        <w:tabs>
          <w:tab w:val="left" w:pos="1080"/>
        </w:tabs>
        <w:spacing w:line="560" w:lineRule="exact"/>
        <w:ind w:firstLine="537" w:firstLineChars="192"/>
        <w:rPr>
          <w:rFonts w:ascii="仿宋" w:hAnsi="仿宋" w:eastAsia="仿宋" w:cs="仿宋"/>
          <w:color w:val="auto"/>
          <w:sz w:val="28"/>
          <w:szCs w:val="28"/>
          <w:highlight w:val="none"/>
        </w:rPr>
      </w:pPr>
      <w:r>
        <w:rPr>
          <w:rFonts w:hint="eastAsia" w:ascii="仿宋_GB2312" w:hAnsi="仿宋_GB2312" w:eastAsia="仿宋_GB2312" w:cs="仿宋_GB2312"/>
          <w:color w:val="auto"/>
          <w:sz w:val="28"/>
          <w:szCs w:val="28"/>
          <w:lang w:val="en-US" w:eastAsia="zh-CN"/>
        </w:rPr>
        <w:t>18.5</w:t>
      </w:r>
      <w:r>
        <w:rPr>
          <w:rFonts w:hint="eastAsia" w:ascii="仿宋_GB2312" w:hAnsi="仿宋_GB2312" w:eastAsia="仿宋_GB2312" w:cs="仿宋_GB2312"/>
          <w:color w:val="auto"/>
          <w:sz w:val="28"/>
          <w:szCs w:val="28"/>
        </w:rPr>
        <w:t>截止时间之后递交的响应文件采购人不予接收。</w:t>
      </w:r>
    </w:p>
    <w:bookmarkEnd w:id="99"/>
    <w:bookmarkEnd w:id="100"/>
    <w:bookmarkEnd w:id="101"/>
    <w:bookmarkEnd w:id="102"/>
    <w:bookmarkEnd w:id="103"/>
    <w:p w14:paraId="14A00F0C">
      <w:pPr>
        <w:pStyle w:val="4"/>
        <w:spacing w:before="0" w:after="0" w:line="560" w:lineRule="exact"/>
        <w:ind w:firstLine="562" w:firstLineChars="200"/>
        <w:rPr>
          <w:rFonts w:ascii="仿宋" w:hAnsi="仿宋" w:eastAsia="仿宋" w:cs="仿宋"/>
          <w:color w:val="auto"/>
          <w:sz w:val="28"/>
          <w:szCs w:val="28"/>
          <w:highlight w:val="none"/>
        </w:rPr>
      </w:pPr>
      <w:bookmarkStart w:id="104" w:name="_Toc217446055"/>
      <w:bookmarkStart w:id="105" w:name="_Toc183682365"/>
      <w:bookmarkStart w:id="106" w:name="_Toc183582228"/>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.响应文件的补充、修改、撤回（实质性要求）</w:t>
      </w:r>
    </w:p>
    <w:bookmarkEnd w:id="104"/>
    <w:bookmarkEnd w:id="105"/>
    <w:bookmarkEnd w:id="106"/>
    <w:p w14:paraId="16C27F1A">
      <w:pPr>
        <w:pStyle w:val="7"/>
        <w:spacing w:line="560" w:lineRule="exact"/>
        <w:ind w:firstLine="57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 xml:space="preserve">.1 </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文件提交截止时间前，</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可以补充、修改或者撤回已成功提交的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文件；对</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文件进行补充、修改的，应当先行撤回已提交的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文件，补充、修改后重新提交。</w:t>
      </w:r>
    </w:p>
    <w:p w14:paraId="42AA9EEC">
      <w:pPr>
        <w:adjustRightInd w:val="0"/>
        <w:snapToGrid w:val="0"/>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 xml:space="preserve">.2 </w:t>
      </w:r>
      <w:r>
        <w:rPr>
          <w:rFonts w:hint="eastAsia" w:ascii="仿宋" w:hAnsi="仿宋" w:eastAsia="仿宋" w:cs="仿宋"/>
          <w:b/>
          <w:bCs/>
          <w:color w:val="auto"/>
          <w:sz w:val="28"/>
          <w:szCs w:val="28"/>
          <w:highlight w:val="none"/>
          <w:lang w:val="en-US" w:eastAsia="zh-CN"/>
        </w:rPr>
        <w:t>供应商</w:t>
      </w:r>
      <w:r>
        <w:rPr>
          <w:rFonts w:hint="eastAsia" w:ascii="仿宋" w:hAnsi="仿宋" w:eastAsia="仿宋" w:cs="仿宋"/>
          <w:b/>
          <w:bCs/>
          <w:color w:val="auto"/>
          <w:sz w:val="28"/>
          <w:szCs w:val="28"/>
          <w:highlight w:val="none"/>
        </w:rPr>
        <w:t>的</w:t>
      </w:r>
      <w:r>
        <w:rPr>
          <w:rFonts w:hint="eastAsia" w:ascii="仿宋" w:hAnsi="仿宋" w:eastAsia="仿宋" w:cs="仿宋"/>
          <w:b/>
          <w:bCs/>
          <w:color w:val="auto"/>
          <w:sz w:val="28"/>
          <w:szCs w:val="28"/>
          <w:highlight w:val="none"/>
          <w:lang w:val="en-US" w:eastAsia="zh-CN"/>
        </w:rPr>
        <w:t>响应</w:t>
      </w:r>
      <w:r>
        <w:rPr>
          <w:rFonts w:hint="eastAsia" w:ascii="仿宋" w:hAnsi="仿宋" w:eastAsia="仿宋" w:cs="仿宋"/>
          <w:b/>
          <w:bCs/>
          <w:color w:val="auto"/>
          <w:sz w:val="28"/>
          <w:szCs w:val="28"/>
          <w:highlight w:val="none"/>
        </w:rPr>
        <w:t>文件撤回后，视为未提交过</w:t>
      </w:r>
      <w:r>
        <w:rPr>
          <w:rFonts w:hint="eastAsia" w:ascii="仿宋" w:hAnsi="仿宋" w:eastAsia="仿宋" w:cs="仿宋"/>
          <w:b/>
          <w:bCs/>
          <w:color w:val="auto"/>
          <w:sz w:val="28"/>
          <w:szCs w:val="28"/>
          <w:highlight w:val="none"/>
          <w:lang w:val="en-US" w:eastAsia="zh-CN"/>
        </w:rPr>
        <w:t>响应</w:t>
      </w:r>
      <w:r>
        <w:rPr>
          <w:rFonts w:hint="eastAsia" w:ascii="仿宋" w:hAnsi="仿宋" w:eastAsia="仿宋" w:cs="仿宋"/>
          <w:b/>
          <w:bCs/>
          <w:color w:val="auto"/>
          <w:sz w:val="28"/>
          <w:szCs w:val="28"/>
          <w:highlight w:val="none"/>
        </w:rPr>
        <w:t>文件。</w:t>
      </w:r>
    </w:p>
    <w:p w14:paraId="40117C19">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19.3</w:t>
      </w:r>
      <w:r>
        <w:rPr>
          <w:rFonts w:hint="eastAsia" w:ascii="仿宋" w:hAnsi="仿宋" w:eastAsia="仿宋" w:cs="仿宋"/>
          <w:color w:val="auto"/>
          <w:sz w:val="28"/>
          <w:szCs w:val="28"/>
          <w:highlight w:val="none"/>
        </w:rPr>
        <w:t>响应文件中报价如果出现下列不一致的，可按以下原则进行修改：</w:t>
      </w:r>
    </w:p>
    <w:p w14:paraId="01956EFF">
      <w:pPr>
        <w:spacing w:line="56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color w:val="auto"/>
          <w:kern w:val="0"/>
          <w:sz w:val="28"/>
          <w:szCs w:val="28"/>
          <w:highlight w:val="none"/>
        </w:rPr>
        <w:t>大写金额和小写金额不一致的，以大写金额为准</w:t>
      </w:r>
      <w:r>
        <w:rPr>
          <w:rFonts w:hint="eastAsia" w:ascii="仿宋" w:hAnsi="仿宋" w:eastAsia="仿宋" w:cs="仿宋"/>
          <w:color w:val="auto"/>
          <w:sz w:val="28"/>
          <w:szCs w:val="28"/>
          <w:highlight w:val="none"/>
        </w:rPr>
        <w:t>，但大写金额文字存在错误的，应当先对大写金额的文字错误进行澄清、说明或者更正，再行修正。</w:t>
      </w:r>
    </w:p>
    <w:p w14:paraId="55F1FE33">
      <w:pPr>
        <w:spacing w:line="56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r>
        <w:rPr>
          <w:rFonts w:hint="eastAsia" w:ascii="仿宋" w:hAnsi="仿宋" w:eastAsia="仿宋" w:cs="仿宋"/>
          <w:color w:val="auto"/>
          <w:kern w:val="0"/>
          <w:sz w:val="28"/>
          <w:szCs w:val="28"/>
          <w:highlight w:val="none"/>
        </w:rPr>
        <w:t>总价金额与按单价汇总金额不一致的，以单价金额计算结果为准，</w:t>
      </w:r>
      <w:r>
        <w:rPr>
          <w:rFonts w:hint="eastAsia" w:ascii="仿宋" w:hAnsi="仿宋" w:eastAsia="仿宋" w:cs="仿宋"/>
          <w:color w:val="auto"/>
          <w:sz w:val="28"/>
          <w:szCs w:val="28"/>
          <w:highlight w:val="none"/>
        </w:rPr>
        <w:t>但</w:t>
      </w:r>
      <w:r>
        <w:rPr>
          <w:rFonts w:hint="eastAsia" w:ascii="仿宋" w:hAnsi="仿宋" w:eastAsia="仿宋" w:cs="仿宋"/>
          <w:color w:val="auto"/>
          <w:kern w:val="0"/>
          <w:sz w:val="28"/>
          <w:szCs w:val="28"/>
          <w:highlight w:val="none"/>
        </w:rPr>
        <w:t>单价或者单价汇总金额存在数字或者</w:t>
      </w:r>
      <w:r>
        <w:rPr>
          <w:rFonts w:hint="eastAsia" w:ascii="仿宋" w:hAnsi="仿宋" w:eastAsia="仿宋" w:cs="仿宋"/>
          <w:color w:val="auto"/>
          <w:sz w:val="28"/>
          <w:szCs w:val="28"/>
          <w:highlight w:val="none"/>
        </w:rPr>
        <w:t>文字错误的，应当先对</w:t>
      </w:r>
      <w:r>
        <w:rPr>
          <w:rFonts w:hint="eastAsia" w:ascii="仿宋" w:hAnsi="仿宋" w:eastAsia="仿宋" w:cs="仿宋"/>
          <w:color w:val="auto"/>
          <w:kern w:val="0"/>
          <w:sz w:val="28"/>
          <w:szCs w:val="28"/>
          <w:highlight w:val="none"/>
        </w:rPr>
        <w:t>数字或者</w:t>
      </w:r>
      <w:r>
        <w:rPr>
          <w:rFonts w:hint="eastAsia" w:ascii="仿宋" w:hAnsi="仿宋" w:eastAsia="仿宋" w:cs="仿宋"/>
          <w:color w:val="auto"/>
          <w:sz w:val="28"/>
          <w:szCs w:val="28"/>
          <w:highlight w:val="none"/>
        </w:rPr>
        <w:t>文字错误进行澄清、说明或者更正，再行修正。</w:t>
      </w:r>
    </w:p>
    <w:p w14:paraId="3D08E0FB">
      <w:pPr>
        <w:spacing w:line="56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（三）单价金额小数点</w:t>
      </w:r>
      <w:r>
        <w:rPr>
          <w:rFonts w:hint="eastAsia" w:ascii="仿宋" w:hAnsi="仿宋" w:eastAsia="仿宋" w:cs="仿宋"/>
          <w:color w:val="auto"/>
          <w:kern w:val="0"/>
          <w:sz w:val="28"/>
          <w:szCs w:val="28"/>
          <w:highlight w:val="none"/>
        </w:rPr>
        <w:t>或者百分比有明显错位的</w:t>
      </w:r>
      <w:r>
        <w:rPr>
          <w:rFonts w:hint="eastAsia" w:ascii="仿宋" w:hAnsi="仿宋" w:eastAsia="仿宋" w:cs="仿宋"/>
          <w:color w:val="auto"/>
          <w:sz w:val="28"/>
          <w:szCs w:val="28"/>
          <w:highlight w:val="none"/>
        </w:rPr>
        <w:t>，以总价为准，修正单价。</w:t>
      </w:r>
    </w:p>
    <w:p w14:paraId="75CDCEF0">
      <w:pPr>
        <w:spacing w:line="560" w:lineRule="exact"/>
        <w:ind w:firstLine="420" w:firstLineChars="15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14:paraId="0B6C7027">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.5 供应商对其提交的响应文件的真实性、合法性承担法律责任。</w:t>
      </w:r>
    </w:p>
    <w:p w14:paraId="262890A4">
      <w:pPr>
        <w:spacing w:before="260" w:after="260"/>
        <w:jc w:val="center"/>
        <w:outlineLvl w:val="1"/>
        <w:rPr>
          <w:rFonts w:ascii="仿宋" w:hAnsi="仿宋" w:eastAsia="仿宋" w:cs="仿宋"/>
          <w:b/>
          <w:bCs/>
          <w:color w:val="auto"/>
          <w:sz w:val="28"/>
          <w:szCs w:val="28"/>
          <w:highlight w:val="none"/>
        </w:rPr>
      </w:pPr>
      <w:bookmarkStart w:id="107" w:name="_Toc217446056"/>
      <w:bookmarkStart w:id="108" w:name="_Toc183582231"/>
      <w:bookmarkStart w:id="109" w:name="_Toc183682368"/>
      <w:bookmarkStart w:id="110" w:name="_Toc77400782"/>
      <w:bookmarkStart w:id="111" w:name="_Toc89075878"/>
      <w:r>
        <w:rPr>
          <w:rFonts w:hint="eastAsia" w:ascii="仿宋" w:hAnsi="仿宋" w:eastAsia="仿宋" w:cs="仿宋"/>
          <w:b/>
          <w:bCs/>
          <w:color w:val="auto"/>
          <w:sz w:val="28"/>
          <w:szCs w:val="28"/>
          <w:highlight w:val="none"/>
        </w:rPr>
        <w:t>五、</w:t>
      </w:r>
      <w:r>
        <w:rPr>
          <w:rFonts w:hint="eastAsia" w:ascii="仿宋" w:hAnsi="仿宋" w:eastAsia="仿宋" w:cs="仿宋"/>
          <w:b/>
          <w:bCs/>
          <w:color w:val="auto"/>
          <w:sz w:val="28"/>
          <w:szCs w:val="28"/>
          <w:highlight w:val="none"/>
          <w:lang w:val="en-US" w:eastAsia="zh-CN"/>
        </w:rPr>
        <w:t>磋商程序、方法</w:t>
      </w:r>
      <w:r>
        <w:rPr>
          <w:rFonts w:hint="eastAsia" w:ascii="仿宋" w:hAnsi="仿宋" w:eastAsia="仿宋" w:cs="仿宋"/>
          <w:b/>
          <w:bCs/>
          <w:color w:val="auto"/>
          <w:sz w:val="28"/>
          <w:szCs w:val="28"/>
          <w:highlight w:val="none"/>
        </w:rPr>
        <w:t>和确定成交供应商</w:t>
      </w:r>
    </w:p>
    <w:p w14:paraId="4FAA53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bookmarkStart w:id="112" w:name="_Toc308164806"/>
      <w:bookmarkStart w:id="113" w:name="_Toc18195"/>
      <w:bookmarkStart w:id="114" w:name="_Toc26945"/>
      <w:r>
        <w:rPr>
          <w:rFonts w:hint="eastAsia" w:ascii="仿宋" w:hAnsi="仿宋" w:eastAsia="仿宋" w:cs="仿宋"/>
          <w:color w:val="auto"/>
          <w:sz w:val="28"/>
          <w:szCs w:val="28"/>
          <w:highlight w:val="none"/>
        </w:rPr>
        <w:t>2</w:t>
      </w:r>
      <w:bookmarkEnd w:id="112"/>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bookmarkEnd w:id="113"/>
      <w:bookmarkEnd w:id="114"/>
      <w:r>
        <w:rPr>
          <w:rFonts w:hint="eastAsia" w:ascii="仿宋" w:hAnsi="仿宋" w:eastAsia="仿宋" w:cs="Times New Roman"/>
          <w:color w:val="auto"/>
          <w:sz w:val="28"/>
          <w:szCs w:val="28"/>
          <w:highlight w:val="none"/>
          <w:lang w:eastAsia="zh-CN"/>
        </w:rPr>
        <w:t>磋商委员会</w:t>
      </w:r>
    </w:p>
    <w:p w14:paraId="52FAC0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val="en-US" w:eastAsia="zh-CN"/>
        </w:rPr>
        <w:t>21.1</w:t>
      </w:r>
      <w:r>
        <w:rPr>
          <w:rFonts w:hint="eastAsia" w:ascii="仿宋" w:hAnsi="仿宋" w:eastAsia="仿宋" w:cs="Times New Roman"/>
          <w:color w:val="auto"/>
          <w:sz w:val="28"/>
          <w:szCs w:val="28"/>
          <w:highlight w:val="none"/>
          <w:lang w:eastAsia="zh-CN"/>
        </w:rPr>
        <w:t>磋商由采购人组织专家组成3人磋商委员会。</w:t>
      </w:r>
    </w:p>
    <w:p w14:paraId="412314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val="en-US" w:eastAsia="zh-CN"/>
        </w:rPr>
        <w:t>21.2</w:t>
      </w:r>
      <w:r>
        <w:rPr>
          <w:rFonts w:hint="eastAsia" w:ascii="仿宋" w:hAnsi="仿宋" w:eastAsia="仿宋" w:cs="Times New Roman"/>
          <w:color w:val="auto"/>
          <w:sz w:val="28"/>
          <w:szCs w:val="28"/>
          <w:highlight w:val="none"/>
          <w:lang w:eastAsia="zh-CN"/>
        </w:rPr>
        <w:t>磋商委员会成员由下列情况之一的，应该回避：</w:t>
      </w:r>
    </w:p>
    <w:p w14:paraId="25E53F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（1）采购人或报价申请人的主要负责人的近亲属；</w:t>
      </w:r>
    </w:p>
    <w:p w14:paraId="1DEF44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（2）项目主管部门或者行政监督部门的人员；</w:t>
      </w:r>
    </w:p>
    <w:p w14:paraId="44347E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（3）与报价申请人有经济利益关系，可能影响对申请公正评审的；</w:t>
      </w:r>
    </w:p>
    <w:p w14:paraId="3302EF8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sz w:val="28"/>
          <w:szCs w:val="28"/>
          <w:highlight w:val="none"/>
          <w:lang w:eastAsia="zh-CN"/>
        </w:rPr>
        <w:t>（4）曾因在采购、评标以及其他和采购申请有关活动中从事违法行为而收到行政处罚或刑事处罚的。</w:t>
      </w:r>
    </w:p>
    <w:p w14:paraId="41B37CE5">
      <w:pPr>
        <w:keepNext w:val="0"/>
        <w:keepLines w:val="0"/>
        <w:pageBreakBefore w:val="0"/>
        <w:widowControl w:val="0"/>
        <w:shd w:val="clear"/>
        <w:kinsoku/>
        <w:wordWrap/>
        <w:overflowPunct/>
        <w:topLinePunct w:val="0"/>
        <w:autoSpaceDE/>
        <w:autoSpaceDN/>
        <w:bidi w:val="0"/>
        <w:adjustRightInd/>
        <w:snapToGrid/>
        <w:spacing w:before="120" w:after="120" w:line="560" w:lineRule="exact"/>
        <w:ind w:firstLine="562" w:firstLineChars="200"/>
        <w:textAlignment w:val="auto"/>
        <w:outlineLvl w:val="2"/>
        <w:rPr>
          <w:rFonts w:hint="default"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22.磋商程序</w:t>
      </w:r>
    </w:p>
    <w:p w14:paraId="2BBCBB1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olor w:val="auto"/>
          <w:sz w:val="28"/>
          <w:szCs w:val="28"/>
          <w:highlight w:val="none"/>
          <w:lang w:val="en-US" w:eastAsia="zh-CN"/>
        </w:rPr>
        <w:t>22.1</w:t>
      </w:r>
      <w:bookmarkStart w:id="115" w:name="OLE_LINK6"/>
      <w:r>
        <w:rPr>
          <w:rFonts w:hint="eastAsia" w:ascii="仿宋" w:hAnsi="仿宋" w:eastAsia="仿宋" w:cs="Times New Roman"/>
          <w:color w:val="auto"/>
          <w:sz w:val="28"/>
          <w:szCs w:val="28"/>
          <w:highlight w:val="none"/>
          <w:lang w:eastAsia="zh-CN"/>
        </w:rPr>
        <w:t>主持人按下列程序进行磋商：</w:t>
      </w:r>
    </w:p>
    <w:p w14:paraId="488543F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（1）宣布磋商纪律；</w:t>
      </w:r>
    </w:p>
    <w:p w14:paraId="4BFC7E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（2）公布在磋商申请截止时间前提交申请文件的报价申请人名称，并点名确认报价申请人是否派员到场；</w:t>
      </w:r>
    </w:p>
    <w:p w14:paraId="40CF6A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（3）宣布开标人、唱标人、记录人等工作人员姓名；</w:t>
      </w:r>
    </w:p>
    <w:p w14:paraId="3562D3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（4）按照须知前附表规定检查申请文件的密封情况；</w:t>
      </w:r>
    </w:p>
    <w:p w14:paraId="6AAD9A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（5）按照</w:t>
      </w:r>
      <w:r>
        <w:rPr>
          <w:rFonts w:hint="eastAsia" w:ascii="仿宋" w:hAnsi="仿宋" w:eastAsia="仿宋" w:cs="Times New Roman"/>
          <w:color w:val="auto"/>
          <w:sz w:val="28"/>
          <w:szCs w:val="28"/>
          <w:highlight w:val="none"/>
          <w:lang w:val="en-US" w:eastAsia="zh-CN"/>
        </w:rPr>
        <w:t>签到顺序</w:t>
      </w:r>
      <w:r>
        <w:rPr>
          <w:rFonts w:hint="eastAsia" w:ascii="仿宋" w:hAnsi="仿宋" w:eastAsia="仿宋" w:cs="Times New Roman"/>
          <w:color w:val="auto"/>
          <w:sz w:val="28"/>
          <w:szCs w:val="28"/>
          <w:highlight w:val="none"/>
          <w:lang w:eastAsia="zh-CN"/>
        </w:rPr>
        <w:t>确定并宣布磋商顺序；</w:t>
      </w:r>
    </w:p>
    <w:p w14:paraId="1D13A4A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（6）设有最高限价的，公布最高限价；</w:t>
      </w:r>
    </w:p>
    <w:p w14:paraId="5006329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（7）按照宣布的开标顺序当众开标，公布报价申请人名称、报价、质量目标、工期及其他内容，并记录在案。</w:t>
      </w:r>
    </w:p>
    <w:p w14:paraId="03F1688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（8）采购人代表、记录人等有关人员在开标记录上签字确认；</w:t>
      </w:r>
    </w:p>
    <w:p w14:paraId="557F79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（9）对符合资格的</w:t>
      </w:r>
      <w:r>
        <w:rPr>
          <w:rFonts w:hint="eastAsia" w:ascii="仿宋" w:hAnsi="仿宋" w:eastAsia="仿宋" w:cs="Times New Roman"/>
          <w:color w:val="auto"/>
          <w:sz w:val="28"/>
          <w:szCs w:val="28"/>
          <w:highlight w:val="none"/>
          <w:lang w:val="en-US" w:eastAsia="zh-CN"/>
        </w:rPr>
        <w:t>供应商按签到顺序</w:t>
      </w:r>
      <w:r>
        <w:rPr>
          <w:rFonts w:hint="eastAsia" w:ascii="仿宋" w:hAnsi="仿宋" w:eastAsia="仿宋" w:cs="Times New Roman"/>
          <w:color w:val="auto"/>
          <w:sz w:val="28"/>
          <w:szCs w:val="28"/>
          <w:highlight w:val="none"/>
          <w:lang w:eastAsia="zh-CN"/>
        </w:rPr>
        <w:t>进行</w:t>
      </w:r>
      <w:r>
        <w:rPr>
          <w:rFonts w:hint="eastAsia" w:ascii="仿宋" w:hAnsi="仿宋" w:eastAsia="仿宋" w:cs="Times New Roman"/>
          <w:color w:val="auto"/>
          <w:sz w:val="28"/>
          <w:szCs w:val="28"/>
          <w:highlight w:val="none"/>
          <w:lang w:val="en-US" w:eastAsia="zh-CN"/>
        </w:rPr>
        <w:t>磋商和</w:t>
      </w:r>
      <w:r>
        <w:rPr>
          <w:rFonts w:hint="eastAsia" w:ascii="仿宋" w:hAnsi="仿宋" w:eastAsia="仿宋" w:cs="Times New Roman"/>
          <w:color w:val="auto"/>
          <w:sz w:val="28"/>
          <w:szCs w:val="28"/>
          <w:highlight w:val="none"/>
          <w:lang w:eastAsia="zh-CN"/>
        </w:rPr>
        <w:t>二轮报价，</w:t>
      </w:r>
      <w:r>
        <w:rPr>
          <w:rFonts w:hint="eastAsia" w:ascii="仿宋" w:hAnsi="仿宋" w:eastAsia="仿宋" w:cs="Times New Roman"/>
          <w:color w:val="auto"/>
          <w:sz w:val="28"/>
          <w:szCs w:val="28"/>
          <w:highlight w:val="none"/>
          <w:lang w:val="en-US" w:eastAsia="zh-CN"/>
        </w:rPr>
        <w:t>报价的供应商不得少于三家</w:t>
      </w:r>
      <w:r>
        <w:rPr>
          <w:rFonts w:hint="eastAsia" w:ascii="仿宋" w:hAnsi="仿宋" w:eastAsia="仿宋" w:cs="Times New Roman"/>
          <w:color w:val="auto"/>
          <w:sz w:val="28"/>
          <w:szCs w:val="28"/>
          <w:highlight w:val="none"/>
          <w:lang w:eastAsia="zh-CN"/>
        </w:rPr>
        <w:t>；</w:t>
      </w:r>
    </w:p>
    <w:p w14:paraId="4BBE00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（10）磋商结束。</w:t>
      </w:r>
    </w:p>
    <w:p w14:paraId="763ACDB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仿宋" w:eastAsia="仿宋" w:cs="仿宋"/>
          <w:b/>
          <w:bCs/>
          <w:color w:val="auto"/>
          <w:sz w:val="28"/>
          <w:szCs w:val="28"/>
          <w:highlight w:val="none"/>
          <w:lang w:val="en-US" w:eastAsia="zh-CN"/>
        </w:rPr>
      </w:pPr>
    </w:p>
    <w:bookmarkEnd w:id="115"/>
    <w:p w14:paraId="47319EC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Times New Roman"/>
          <w:b/>
          <w:bCs/>
          <w:color w:val="auto"/>
          <w:sz w:val="28"/>
          <w:szCs w:val="28"/>
          <w:highlight w:val="none"/>
          <w:lang w:eastAsia="zh-CN"/>
        </w:rPr>
      </w:pPr>
      <w:bookmarkStart w:id="116" w:name="_Toc5240"/>
      <w:bookmarkStart w:id="117" w:name="_Toc307"/>
      <w:bookmarkStart w:id="118" w:name="_Toc183582238"/>
      <w:bookmarkStart w:id="119" w:name="_Toc183682375"/>
      <w:bookmarkStart w:id="120" w:name="_Toc217446063"/>
      <w:bookmarkStart w:id="121" w:name="_Toc308164809"/>
      <w:r>
        <w:rPr>
          <w:rFonts w:hint="eastAsia" w:ascii="仿宋" w:hAnsi="仿宋" w:eastAsia="仿宋" w:cs="Times New Roman"/>
          <w:b/>
          <w:bCs/>
          <w:color w:val="auto"/>
          <w:sz w:val="28"/>
          <w:szCs w:val="28"/>
          <w:highlight w:val="none"/>
          <w:lang w:eastAsia="zh-CN"/>
        </w:rPr>
        <w:t>2</w:t>
      </w:r>
      <w:r>
        <w:rPr>
          <w:rFonts w:hint="eastAsia" w:ascii="仿宋" w:hAnsi="仿宋" w:eastAsia="仿宋" w:cs="Times New Roman"/>
          <w:b/>
          <w:bCs/>
          <w:color w:val="auto"/>
          <w:sz w:val="28"/>
          <w:szCs w:val="28"/>
          <w:highlight w:val="none"/>
          <w:lang w:val="en-US" w:eastAsia="zh-CN"/>
        </w:rPr>
        <w:t>3</w:t>
      </w:r>
      <w:r>
        <w:rPr>
          <w:rFonts w:hint="eastAsia" w:ascii="仿宋" w:hAnsi="仿宋" w:eastAsia="仿宋" w:cs="Times New Roman"/>
          <w:b/>
          <w:bCs/>
          <w:color w:val="auto"/>
          <w:sz w:val="28"/>
          <w:szCs w:val="28"/>
          <w:highlight w:val="none"/>
          <w:lang w:eastAsia="zh-CN"/>
        </w:rPr>
        <w:t>.</w:t>
      </w:r>
      <w:bookmarkEnd w:id="116"/>
      <w:bookmarkEnd w:id="117"/>
      <w:bookmarkStart w:id="122" w:name="_Toc15702"/>
      <w:bookmarkStart w:id="123" w:name="_Toc20060"/>
      <w:r>
        <w:rPr>
          <w:rFonts w:hint="eastAsia" w:ascii="仿宋" w:hAnsi="仿宋" w:eastAsia="仿宋" w:cs="Times New Roman"/>
          <w:b/>
          <w:bCs/>
          <w:color w:val="auto"/>
          <w:sz w:val="28"/>
          <w:szCs w:val="28"/>
          <w:highlight w:val="none"/>
          <w:lang w:eastAsia="zh-CN"/>
        </w:rPr>
        <w:t>磋商办法</w:t>
      </w:r>
      <w:bookmarkEnd w:id="122"/>
      <w:bookmarkEnd w:id="123"/>
    </w:p>
    <w:p w14:paraId="122119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本次评标采用两次报价，即在满足竞争性磋商文件实质性要求前提下，磋商委员会所有成员，按照签到顺序分别与每一个被邀请的供应商进行磋商。磋商后报价人根据磋商委员会意见做出澄清或承诺，由报价人分别进行二次报价。</w:t>
      </w:r>
    </w:p>
    <w:p w14:paraId="6C61CC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lang w:eastAsia="zh-CN"/>
        </w:rPr>
        <w:t>磋商委员会根据符合采购需求、质量和服务相等且</w:t>
      </w:r>
      <w:r>
        <w:rPr>
          <w:rFonts w:hint="eastAsia" w:ascii="仿宋" w:hAnsi="仿宋" w:eastAsia="仿宋" w:cs="Times New Roman"/>
          <w:color w:val="auto"/>
          <w:sz w:val="28"/>
          <w:szCs w:val="28"/>
          <w:highlight w:val="none"/>
          <w:lang w:val="en-US" w:eastAsia="zh-CN"/>
        </w:rPr>
        <w:t>下浮比例最低</w:t>
      </w:r>
      <w:r>
        <w:rPr>
          <w:rFonts w:hint="eastAsia" w:ascii="仿宋" w:hAnsi="仿宋" w:eastAsia="仿宋" w:cs="Times New Roman"/>
          <w:color w:val="auto"/>
          <w:sz w:val="28"/>
          <w:szCs w:val="28"/>
          <w:highlight w:val="none"/>
          <w:lang w:eastAsia="zh-CN"/>
        </w:rPr>
        <w:t>的原则，推举一名合格成交候选人，经采购人审定后发出成交通知书，并将结果通知所有参加磋商的未成交的供应商。</w:t>
      </w:r>
    </w:p>
    <w:p w14:paraId="4B48B225">
      <w:pPr>
        <w:pStyle w:val="4"/>
        <w:spacing w:line="400" w:lineRule="exact"/>
        <w:ind w:firstLine="562" w:firstLineChars="200"/>
        <w:rPr>
          <w:rFonts w:ascii="仿宋" w:hAnsi="仿宋" w:eastAsia="仿宋" w:cs="仿宋"/>
          <w:color w:val="auto"/>
          <w:sz w:val="28"/>
          <w:szCs w:val="28"/>
          <w:highlight w:val="none"/>
        </w:rPr>
      </w:pPr>
      <w:bookmarkStart w:id="124" w:name="_Toc19436"/>
      <w:bookmarkStart w:id="125" w:name="_Toc3421"/>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.成交通知</w:t>
      </w:r>
      <w:bookmarkEnd w:id="118"/>
      <w:bookmarkEnd w:id="119"/>
      <w:r>
        <w:rPr>
          <w:rFonts w:hint="eastAsia" w:ascii="仿宋" w:hAnsi="仿宋" w:eastAsia="仿宋" w:cs="仿宋"/>
          <w:color w:val="auto"/>
          <w:sz w:val="28"/>
          <w:szCs w:val="28"/>
          <w:highlight w:val="none"/>
        </w:rPr>
        <w:t>书</w:t>
      </w:r>
      <w:bookmarkEnd w:id="120"/>
      <w:bookmarkEnd w:id="121"/>
      <w:bookmarkEnd w:id="124"/>
      <w:bookmarkEnd w:id="125"/>
    </w:p>
    <w:p w14:paraId="641FC626">
      <w:pPr>
        <w:shd w:val="clear"/>
        <w:spacing w:line="56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24.1成交</w:t>
      </w:r>
      <w:r>
        <w:rPr>
          <w:rFonts w:hint="eastAsia" w:ascii="仿宋" w:hAnsi="仿宋" w:eastAsia="仿宋"/>
          <w:color w:val="auto"/>
          <w:sz w:val="28"/>
          <w:szCs w:val="28"/>
          <w:highlight w:val="none"/>
        </w:rPr>
        <w:t>通知书为签订采购合同的依据之一，是合同的有效组成部分。</w:t>
      </w:r>
    </w:p>
    <w:p w14:paraId="100AE07C">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2</w:t>
      </w:r>
      <w:r>
        <w:rPr>
          <w:rFonts w:hint="eastAsia" w:ascii="仿宋" w:hAnsi="仿宋" w:eastAsia="仿宋"/>
          <w:color w:val="auto"/>
          <w:sz w:val="28"/>
          <w:szCs w:val="28"/>
          <w:highlight w:val="none"/>
        </w:rPr>
        <w:t>成交通知书对采购人和成交供应商均具有法律效力。成交通知书发出后，采购人改变评审结果，或者成交供应商无正当理由放弃成交的，应当承担相应的法律责任。</w:t>
      </w:r>
    </w:p>
    <w:p w14:paraId="71E17425">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3</w:t>
      </w:r>
      <w:r>
        <w:rPr>
          <w:rFonts w:hint="eastAsia" w:ascii="仿宋" w:hAnsi="仿宋" w:eastAsia="仿宋"/>
          <w:color w:val="auto"/>
          <w:sz w:val="28"/>
          <w:szCs w:val="28"/>
          <w:highlight w:val="none"/>
        </w:rPr>
        <w:t>成交供应商的响应文件本应作为无效处理或者有采购法律法规规章制度规定的成交无效情形的，采购单位在取得有权主体的认定以后，将宣布发出的成交通知书无效，并收回发出的成交通知书（成交供应商应当缴回），依法重新确定成交供应商或者重新开展采购活动。</w:t>
      </w:r>
    </w:p>
    <w:p w14:paraId="021C0228">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4确认成交结果</w:t>
      </w:r>
      <w:r>
        <w:rPr>
          <w:rFonts w:hint="eastAsia" w:ascii="仿宋" w:hAnsi="仿宋" w:eastAsia="仿宋"/>
          <w:color w:val="auto"/>
          <w:sz w:val="28"/>
          <w:szCs w:val="28"/>
          <w:highlight w:val="none"/>
        </w:rPr>
        <w:t>后，</w:t>
      </w:r>
      <w:r>
        <w:rPr>
          <w:rFonts w:hint="eastAsia" w:ascii="仿宋" w:hAnsi="仿宋" w:eastAsia="仿宋"/>
          <w:color w:val="auto"/>
          <w:sz w:val="28"/>
          <w:szCs w:val="28"/>
          <w:highlight w:val="none"/>
          <w:lang w:val="en-US" w:eastAsia="zh-CN"/>
        </w:rPr>
        <w:t>采购人</w:t>
      </w:r>
      <w:r>
        <w:rPr>
          <w:rFonts w:hint="eastAsia" w:ascii="仿宋" w:hAnsi="仿宋" w:eastAsia="仿宋"/>
          <w:color w:val="auto"/>
          <w:sz w:val="28"/>
          <w:szCs w:val="28"/>
          <w:highlight w:val="none"/>
        </w:rPr>
        <w:t>在《乐山市国有企业阳光采购服务平台》发布</w:t>
      </w:r>
      <w:r>
        <w:rPr>
          <w:rFonts w:hint="eastAsia" w:ascii="仿宋" w:hAnsi="仿宋" w:eastAsia="仿宋"/>
          <w:color w:val="auto"/>
          <w:sz w:val="28"/>
          <w:szCs w:val="28"/>
          <w:highlight w:val="none"/>
          <w:lang w:val="en-US" w:eastAsia="zh-CN"/>
        </w:rPr>
        <w:t>成交</w:t>
      </w:r>
      <w:r>
        <w:rPr>
          <w:rFonts w:hint="eastAsia" w:ascii="仿宋" w:hAnsi="仿宋" w:eastAsia="仿宋"/>
          <w:color w:val="auto"/>
          <w:sz w:val="28"/>
          <w:szCs w:val="28"/>
          <w:highlight w:val="none"/>
        </w:rPr>
        <w:t>公告，</w:t>
      </w:r>
      <w:r>
        <w:rPr>
          <w:rFonts w:hint="eastAsia" w:ascii="仿宋" w:hAnsi="仿宋" w:eastAsia="仿宋"/>
          <w:color w:val="auto"/>
          <w:sz w:val="28"/>
          <w:szCs w:val="28"/>
          <w:highlight w:val="none"/>
          <w:lang w:val="en-US" w:eastAsia="zh-CN"/>
        </w:rPr>
        <w:t>成交供应商应及时</w:t>
      </w:r>
      <w:r>
        <w:rPr>
          <w:rFonts w:hint="eastAsia" w:ascii="仿宋" w:hAnsi="仿宋" w:eastAsia="仿宋"/>
          <w:color w:val="auto"/>
          <w:sz w:val="28"/>
          <w:szCs w:val="28"/>
          <w:highlight w:val="none"/>
        </w:rPr>
        <w:t>获取</w:t>
      </w:r>
      <w:r>
        <w:rPr>
          <w:rFonts w:hint="eastAsia" w:ascii="仿宋" w:hAnsi="仿宋" w:eastAsia="仿宋"/>
          <w:color w:val="auto"/>
          <w:sz w:val="28"/>
          <w:szCs w:val="28"/>
          <w:highlight w:val="none"/>
          <w:lang w:val="en-US" w:eastAsia="zh-CN"/>
        </w:rPr>
        <w:t>成交</w:t>
      </w:r>
      <w:r>
        <w:rPr>
          <w:rFonts w:hint="eastAsia" w:ascii="仿宋" w:hAnsi="仿宋" w:eastAsia="仿宋"/>
          <w:color w:val="auto"/>
          <w:sz w:val="28"/>
          <w:szCs w:val="28"/>
          <w:highlight w:val="none"/>
        </w:rPr>
        <w:t>通知书。</w:t>
      </w:r>
    </w:p>
    <w:p w14:paraId="0A3BC4DC">
      <w:pPr>
        <w:pStyle w:val="4"/>
        <w:spacing w:line="400" w:lineRule="exact"/>
        <w:ind w:firstLine="562" w:firstLineChars="200"/>
        <w:rPr>
          <w:rFonts w:ascii="仿宋" w:hAnsi="仿宋" w:eastAsia="仿宋" w:cs="仿宋"/>
          <w:color w:val="auto"/>
          <w:sz w:val="28"/>
          <w:szCs w:val="28"/>
          <w:highlight w:val="none"/>
        </w:rPr>
      </w:pPr>
      <w:bookmarkStart w:id="126" w:name="_Toc24342"/>
      <w:bookmarkStart w:id="127" w:name="_Toc3727"/>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.重新开展采购的情形</w:t>
      </w:r>
      <w:bookmarkEnd w:id="126"/>
      <w:bookmarkEnd w:id="127"/>
    </w:p>
    <w:p w14:paraId="12F83AB7">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出现下列情形之一的，采购</w:t>
      </w:r>
      <w:r>
        <w:rPr>
          <w:rFonts w:hint="eastAsia" w:ascii="仿宋" w:hAnsi="仿宋" w:eastAsia="仿宋"/>
          <w:color w:val="auto"/>
          <w:sz w:val="28"/>
          <w:szCs w:val="28"/>
          <w:highlight w:val="none"/>
          <w:lang w:val="en-US" w:eastAsia="zh-CN"/>
        </w:rPr>
        <w:t>人</w:t>
      </w:r>
      <w:r>
        <w:rPr>
          <w:rFonts w:hint="eastAsia" w:ascii="仿宋" w:hAnsi="仿宋" w:eastAsia="仿宋"/>
          <w:color w:val="auto"/>
          <w:sz w:val="28"/>
          <w:szCs w:val="28"/>
          <w:highlight w:val="none"/>
        </w:rPr>
        <w:t>应当终止竞争性磋商采购活动，发布项目终止公告并说明原因：</w:t>
      </w:r>
    </w:p>
    <w:p w14:paraId="708E2B58">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1、因情况变化，不在符合规定的竞争性磋商采购方式使用情形的；</w:t>
      </w:r>
    </w:p>
    <w:p w14:paraId="30A5EF55">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2、出现影响采购公平的违法、违规行为的；</w:t>
      </w:r>
    </w:p>
    <w:p w14:paraId="2930827C">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3、在采购过程中符合要求的供应商或者报价未超过采购预算的供应商不足3家的。</w:t>
      </w:r>
    </w:p>
    <w:p w14:paraId="4C35827B">
      <w:pPr>
        <w:spacing w:before="260" w:after="26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六、签订及履行合同和验收</w:t>
      </w:r>
    </w:p>
    <w:p w14:paraId="24D5B13F">
      <w:pPr>
        <w:pStyle w:val="4"/>
        <w:spacing w:line="400" w:lineRule="exact"/>
        <w:ind w:firstLine="562" w:firstLineChars="200"/>
        <w:rPr>
          <w:rFonts w:ascii="仿宋" w:hAnsi="仿宋" w:eastAsia="仿宋" w:cs="仿宋"/>
          <w:color w:val="auto"/>
          <w:sz w:val="28"/>
          <w:szCs w:val="28"/>
          <w:highlight w:val="none"/>
        </w:rPr>
      </w:pPr>
      <w:bookmarkStart w:id="128" w:name="_Toc4391"/>
      <w:bookmarkStart w:id="129" w:name="_Toc940"/>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.签订合同</w:t>
      </w:r>
      <w:bookmarkEnd w:id="128"/>
      <w:bookmarkEnd w:id="129"/>
    </w:p>
    <w:p w14:paraId="66E36A94">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.1 成交供应商应在成交通知书发出之日起三</w:t>
      </w:r>
      <w:r>
        <w:rPr>
          <w:rFonts w:hint="eastAsia" w:ascii="仿宋" w:hAnsi="仿宋" w:eastAsia="仿宋" w:cs="仿宋"/>
          <w:color w:val="auto"/>
          <w:sz w:val="28"/>
          <w:szCs w:val="28"/>
          <w:highlight w:val="none"/>
          <w:lang w:val="en-US" w:eastAsia="zh-CN"/>
        </w:rPr>
        <w:t>十日</w:t>
      </w:r>
      <w:r>
        <w:rPr>
          <w:rFonts w:hint="eastAsia" w:ascii="仿宋" w:hAnsi="仿宋" w:eastAsia="仿宋" w:cs="仿宋"/>
          <w:color w:val="auto"/>
          <w:sz w:val="28"/>
          <w:szCs w:val="28"/>
          <w:highlight w:val="none"/>
        </w:rPr>
        <w:t>内与采购人签订采购合同。由于成交供应商的原因逾期未与采购人签订采购合同的，将视为放弃成交，取消其成交资格并将按相关规定进行处理。</w:t>
      </w:r>
    </w:p>
    <w:p w14:paraId="5CB30D4D">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.2 竞争性磋商文件、成交供应商提交的响应文件、磋商中的最后报价、成交供应商承诺书、成交通知书及双方确认的澄清文件等均称为有法律约束力的合同组成内容。</w:t>
      </w:r>
    </w:p>
    <w:p w14:paraId="7A8AE407">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.3 采购人不得向成交供应商提出任何不合理的要求，作为签订合同的条件，不得与成交供应商私下订立背离合同实质性内容的任何协议，所签订的合同不得对磋商文件和成交供应商响应文件确定的事项进行修改。</w:t>
      </w:r>
    </w:p>
    <w:p w14:paraId="6FF3BEF0">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.4 成交供应商因不可抗力原因不能履行采购合同或放弃成交的，采购人可以与排在成交供应商之后第一位的成交候选人签订采购合同，以此类推。</w:t>
      </w:r>
    </w:p>
    <w:p w14:paraId="37EF4F58">
      <w:pPr>
        <w:pStyle w:val="4"/>
        <w:spacing w:line="400" w:lineRule="exact"/>
        <w:ind w:firstLine="562" w:firstLineChars="200"/>
        <w:rPr>
          <w:rFonts w:ascii="仿宋" w:hAnsi="仿宋" w:eastAsia="仿宋" w:cs="仿宋"/>
          <w:color w:val="auto"/>
          <w:sz w:val="28"/>
          <w:szCs w:val="28"/>
          <w:highlight w:val="none"/>
        </w:rPr>
      </w:pPr>
      <w:bookmarkStart w:id="130" w:name="_Toc21352"/>
      <w:bookmarkStart w:id="131" w:name="_Toc694"/>
      <w:r>
        <w:rPr>
          <w:rFonts w:hint="eastAsia" w:ascii="仿宋" w:hAnsi="仿宋" w:eastAsia="仿宋" w:cs="仿宋"/>
          <w:color w:val="auto"/>
          <w:sz w:val="28"/>
          <w:szCs w:val="28"/>
          <w:highlight w:val="none"/>
          <w:lang w:val="en-US" w:eastAsia="zh-CN"/>
        </w:rPr>
        <w:t>27</w:t>
      </w:r>
      <w:r>
        <w:rPr>
          <w:rFonts w:hint="eastAsia" w:ascii="仿宋" w:hAnsi="仿宋" w:eastAsia="仿宋" w:cs="仿宋"/>
          <w:color w:val="auto"/>
          <w:sz w:val="28"/>
          <w:szCs w:val="28"/>
          <w:highlight w:val="none"/>
        </w:rPr>
        <w:t>.合同分包（实质性要求）</w:t>
      </w:r>
      <w:bookmarkEnd w:id="130"/>
      <w:bookmarkEnd w:id="131"/>
    </w:p>
    <w:p w14:paraId="0027942D">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本采购项目不允许合同分包。</w:t>
      </w:r>
    </w:p>
    <w:p w14:paraId="76D88F71">
      <w:pPr>
        <w:pStyle w:val="4"/>
        <w:spacing w:line="400" w:lineRule="exact"/>
        <w:ind w:firstLine="562" w:firstLineChars="200"/>
        <w:rPr>
          <w:rFonts w:ascii="仿宋" w:hAnsi="仿宋" w:eastAsia="仿宋" w:cs="仿宋"/>
          <w:color w:val="auto"/>
          <w:sz w:val="28"/>
          <w:szCs w:val="28"/>
          <w:highlight w:val="none"/>
        </w:rPr>
      </w:pPr>
      <w:bookmarkStart w:id="132" w:name="_Toc19307"/>
      <w:bookmarkStart w:id="133" w:name="_Toc23259"/>
      <w:r>
        <w:rPr>
          <w:rFonts w:hint="eastAsia" w:ascii="仿宋" w:hAnsi="仿宋" w:eastAsia="仿宋" w:cs="仿宋"/>
          <w:color w:val="auto"/>
          <w:sz w:val="28"/>
          <w:szCs w:val="28"/>
          <w:highlight w:val="none"/>
          <w:lang w:val="en-US" w:eastAsia="zh-CN"/>
        </w:rPr>
        <w:t>28</w:t>
      </w:r>
      <w:r>
        <w:rPr>
          <w:rFonts w:hint="eastAsia" w:ascii="仿宋" w:hAnsi="仿宋" w:eastAsia="仿宋" w:cs="仿宋"/>
          <w:color w:val="auto"/>
          <w:sz w:val="28"/>
          <w:szCs w:val="28"/>
          <w:highlight w:val="none"/>
        </w:rPr>
        <w:t>.合同转包（实质性要求）</w:t>
      </w:r>
      <w:bookmarkEnd w:id="132"/>
      <w:bookmarkEnd w:id="133"/>
    </w:p>
    <w:p w14:paraId="7D002554">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采购项目严禁成交供应商将任何采购合同转包。本项目所称转包，是指成交供应商将采购合同义务转让给第三人，并退出现有采购合同当事人双方的权利义务关系，受让人（即第三人）成为采购合同的另一方当事人的行为。成交供应商转包的，视同拒绝履行采购合同义务，将依法追究法律责任。</w:t>
      </w:r>
    </w:p>
    <w:p w14:paraId="509647E8">
      <w:pPr>
        <w:pStyle w:val="4"/>
        <w:spacing w:line="400" w:lineRule="exact"/>
        <w:ind w:firstLine="562" w:firstLineChars="200"/>
        <w:rPr>
          <w:rFonts w:ascii="仿宋" w:hAnsi="仿宋" w:eastAsia="仿宋" w:cs="仿宋"/>
          <w:color w:val="auto"/>
          <w:sz w:val="28"/>
          <w:szCs w:val="28"/>
          <w:highlight w:val="none"/>
        </w:rPr>
      </w:pPr>
      <w:bookmarkStart w:id="134" w:name="_Toc20977"/>
      <w:bookmarkStart w:id="135" w:name="_Toc4200"/>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.补充合同</w:t>
      </w:r>
      <w:bookmarkEnd w:id="134"/>
      <w:bookmarkEnd w:id="135"/>
    </w:p>
    <w:p w14:paraId="51D2AEAE">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采购合同履行过程中，采购人需要追加与合同标的相同的货物或者服务的，在不改变合同其他条款的前提下，可以与成交供应商协商签订补充合同，但所有补充合同的采购金额不得超过原合同采购金额的10%，该补充合同应当在原采购合同履行过程中，不得在原采购合同履行结束后，且采购货物、工程和服务的名称、价格、履约方式、验收标准等必须与原采购合同一致。 </w:t>
      </w:r>
    </w:p>
    <w:p w14:paraId="58CD5CDC">
      <w:pPr>
        <w:pStyle w:val="4"/>
        <w:spacing w:line="400" w:lineRule="exact"/>
        <w:ind w:firstLine="562" w:firstLineChars="200"/>
        <w:rPr>
          <w:rFonts w:ascii="仿宋" w:hAnsi="仿宋" w:eastAsia="仿宋" w:cs="仿宋"/>
          <w:color w:val="auto"/>
          <w:sz w:val="28"/>
          <w:szCs w:val="28"/>
          <w:highlight w:val="none"/>
        </w:rPr>
      </w:pPr>
      <w:bookmarkStart w:id="136" w:name="_Toc21073"/>
      <w:bookmarkStart w:id="137" w:name="_Toc5713"/>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.履约保证金（实质性要求）</w:t>
      </w:r>
      <w:bookmarkEnd w:id="136"/>
      <w:bookmarkEnd w:id="137"/>
    </w:p>
    <w:p w14:paraId="1D4034A7">
      <w:pPr>
        <w:shd w:val="clear"/>
        <w:spacing w:line="560" w:lineRule="exact"/>
        <w:ind w:firstLine="560" w:firstLineChars="200"/>
        <w:rPr>
          <w:rFonts w:hint="eastAsia" w:ascii="仿宋" w:hAnsi="仿宋" w:eastAsia="仿宋" w:cs="仿宋"/>
          <w:color w:val="auto"/>
          <w:sz w:val="28"/>
          <w:szCs w:val="28"/>
          <w:highlight w:val="none"/>
          <w:lang w:val="en-US" w:eastAsia="zh-CN"/>
        </w:rPr>
      </w:pPr>
      <w:bookmarkStart w:id="138" w:name="_Toc21030"/>
      <w:bookmarkStart w:id="139" w:name="_Toc25593"/>
      <w:r>
        <w:rPr>
          <w:rFonts w:hint="eastAsia" w:ascii="仿宋" w:hAnsi="仿宋" w:eastAsia="仿宋" w:cs="仿宋"/>
          <w:color w:val="auto"/>
          <w:sz w:val="28"/>
          <w:szCs w:val="28"/>
          <w:highlight w:val="none"/>
          <w:lang w:val="en-US" w:eastAsia="zh-CN"/>
        </w:rPr>
        <w:t>30.1本项目不收取。</w:t>
      </w:r>
    </w:p>
    <w:p w14:paraId="170EC852">
      <w:pPr>
        <w:pStyle w:val="4"/>
        <w:spacing w:line="400" w:lineRule="exact"/>
        <w:ind w:firstLine="562"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.履行合同</w:t>
      </w:r>
      <w:bookmarkEnd w:id="138"/>
      <w:bookmarkEnd w:id="139"/>
    </w:p>
    <w:p w14:paraId="38BFAE09">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.1 成交供应商与采购人签订合同后，合同双方应严格执行合同条款，履行合同规定的义务，保证合同的顺利完成。</w:t>
      </w:r>
    </w:p>
    <w:p w14:paraId="09C86C17">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.2 在合同履行过程中，如发生合同纠纷，合同双方应按照</w:t>
      </w:r>
      <w:r>
        <w:rPr>
          <w:rFonts w:hint="eastAsia" w:ascii="仿宋" w:hAnsi="仿宋" w:eastAsia="仿宋" w:cs="仿宋"/>
          <w:color w:val="auto"/>
          <w:sz w:val="28"/>
          <w:szCs w:val="28"/>
          <w:highlight w:val="none"/>
          <w:lang w:val="en-US" w:eastAsia="zh-CN"/>
        </w:rPr>
        <w:t>有关法律法规</w:t>
      </w:r>
      <w:r>
        <w:rPr>
          <w:rFonts w:hint="eastAsia" w:ascii="仿宋" w:hAnsi="仿宋" w:eastAsia="仿宋" w:cs="仿宋"/>
          <w:color w:val="auto"/>
          <w:sz w:val="28"/>
          <w:szCs w:val="28"/>
          <w:highlight w:val="none"/>
        </w:rPr>
        <w:t>的规定进行处理。</w:t>
      </w:r>
    </w:p>
    <w:p w14:paraId="14202E58">
      <w:pPr>
        <w:pStyle w:val="4"/>
        <w:spacing w:line="400" w:lineRule="exact"/>
        <w:ind w:firstLine="562" w:firstLineChars="200"/>
        <w:rPr>
          <w:rFonts w:ascii="仿宋" w:hAnsi="仿宋" w:eastAsia="仿宋" w:cs="仿宋"/>
          <w:color w:val="auto"/>
          <w:sz w:val="28"/>
          <w:szCs w:val="28"/>
          <w:highlight w:val="none"/>
        </w:rPr>
      </w:pPr>
      <w:bookmarkStart w:id="140" w:name="_Toc22888"/>
      <w:bookmarkStart w:id="141" w:name="_Toc9111"/>
      <w:r>
        <w:rPr>
          <w:rFonts w:hint="eastAsia" w:ascii="仿宋" w:hAnsi="仿宋" w:eastAsia="仿宋" w:cs="仿宋"/>
          <w:color w:val="auto"/>
          <w:sz w:val="28"/>
          <w:szCs w:val="28"/>
          <w:highlight w:val="none"/>
          <w:lang w:val="en-US" w:eastAsia="zh-CN"/>
        </w:rPr>
        <w:t>32</w:t>
      </w:r>
      <w:r>
        <w:rPr>
          <w:rFonts w:hint="eastAsia" w:ascii="仿宋" w:hAnsi="仿宋" w:eastAsia="仿宋" w:cs="仿宋"/>
          <w:color w:val="auto"/>
          <w:sz w:val="28"/>
          <w:szCs w:val="28"/>
          <w:highlight w:val="none"/>
        </w:rPr>
        <w:t>.验收</w:t>
      </w:r>
      <w:bookmarkEnd w:id="140"/>
      <w:bookmarkEnd w:id="141"/>
    </w:p>
    <w:p w14:paraId="618FFEF0">
      <w:pPr>
        <w:spacing w:line="520" w:lineRule="exact"/>
        <w:ind w:firstLine="560" w:firstLineChars="200"/>
        <w:rPr>
          <w:rFonts w:hint="eastAsia" w:ascii="仿宋" w:hAnsi="仿宋" w:eastAsia="仿宋" w:cs="仿宋"/>
          <w:color w:val="auto"/>
          <w:sz w:val="28"/>
          <w:szCs w:val="28"/>
          <w:highlight w:val="none"/>
          <w:lang w:val="en-US" w:eastAsia="zh-CN"/>
        </w:rPr>
      </w:pPr>
      <w:bookmarkStart w:id="142" w:name="_Toc26891"/>
      <w:bookmarkStart w:id="143" w:name="_Toc16433"/>
      <w:r>
        <w:rPr>
          <w:rFonts w:hint="eastAsia" w:ascii="仿宋" w:hAnsi="仿宋" w:eastAsia="仿宋" w:cs="仿宋"/>
          <w:color w:val="auto"/>
          <w:sz w:val="28"/>
          <w:szCs w:val="28"/>
          <w:highlight w:val="none"/>
          <w:lang w:val="en-US" w:eastAsia="zh-CN"/>
        </w:rPr>
        <w:t xml:space="preserve">32.1符合现行国家、行业标准,符合相关法律法规要求; </w:t>
      </w:r>
    </w:p>
    <w:p w14:paraId="3BFF6FB1">
      <w:pPr>
        <w:spacing w:line="52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32.2符合本项目磋商文件的要求;</w:t>
      </w:r>
    </w:p>
    <w:p w14:paraId="1E13DEA3">
      <w:pPr>
        <w:spacing w:line="52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32.3符合本项目响应文件的承诺；</w:t>
      </w:r>
    </w:p>
    <w:p w14:paraId="2479E970">
      <w:pPr>
        <w:spacing w:line="52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w:t>
      </w:r>
    </w:p>
    <w:p w14:paraId="525BE79C">
      <w:pPr>
        <w:pStyle w:val="4"/>
        <w:spacing w:line="400" w:lineRule="exact"/>
        <w:ind w:firstLine="562"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33</w:t>
      </w:r>
      <w:r>
        <w:rPr>
          <w:rFonts w:hint="eastAsia" w:ascii="仿宋" w:hAnsi="仿宋" w:eastAsia="仿宋" w:cs="仿宋"/>
          <w:color w:val="auto"/>
          <w:sz w:val="28"/>
          <w:szCs w:val="28"/>
          <w:highlight w:val="none"/>
        </w:rPr>
        <w:t>.资金支付</w:t>
      </w:r>
      <w:bookmarkEnd w:id="142"/>
      <w:bookmarkEnd w:id="143"/>
    </w:p>
    <w:p w14:paraId="13A50B4D">
      <w:pPr>
        <w:spacing w:line="560" w:lineRule="exact"/>
        <w:ind w:firstLine="560" w:firstLineChars="200"/>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采购人将按照采购合同规定，及时向成交供应商支付采购资金。</w:t>
      </w:r>
    </w:p>
    <w:p w14:paraId="5155C778">
      <w:pPr>
        <w:spacing w:before="260" w:after="260"/>
        <w:jc w:val="center"/>
        <w:outlineLvl w:val="1"/>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七、纪律要求</w:t>
      </w:r>
    </w:p>
    <w:p w14:paraId="521C9AD3">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562" w:firstLineChars="200"/>
        <w:jc w:val="both"/>
        <w:textAlignment w:val="auto"/>
        <w:outlineLvl w:val="2"/>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34</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评审活动纪律要求</w:t>
      </w:r>
    </w:p>
    <w:p w14:paraId="34312FD0">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（1）采购人应保证评标活动在严格保密的情况下进行，采购人、</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和评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委员会成员应当严格遵守采购法律法规规章制度和本项目</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文件现场管理规定，接受采购人委派的监督人员的监督，任何单位和个人不得非法干预和影响评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过程和结果。</w:t>
      </w:r>
    </w:p>
    <w:p w14:paraId="045BD471">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（2）对各</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的商业秘密，评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委员会成员应予以保密，不得泄露给其他</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w:t>
      </w:r>
    </w:p>
    <w:p w14:paraId="7A06378A">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35.供应商不得具有的情形</w:t>
      </w:r>
    </w:p>
    <w:p w14:paraId="1027B941">
      <w:pPr>
        <w:shd w:val="clea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35.1供应商</w:t>
      </w:r>
      <w:r>
        <w:rPr>
          <w:rFonts w:hint="eastAsia" w:ascii="仿宋" w:hAnsi="仿宋" w:eastAsia="仿宋" w:cs="仿宋"/>
          <w:color w:val="auto"/>
          <w:sz w:val="28"/>
          <w:szCs w:val="28"/>
          <w:highlight w:val="none"/>
        </w:rPr>
        <w:t>参加本项目</w:t>
      </w:r>
      <w:r>
        <w:rPr>
          <w:rFonts w:hint="eastAsia" w:ascii="仿宋" w:hAnsi="仿宋" w:eastAsia="仿宋" w:cs="仿宋"/>
          <w:color w:val="auto"/>
          <w:sz w:val="28"/>
          <w:szCs w:val="28"/>
          <w:highlight w:val="none"/>
          <w:lang w:val="en-US" w:eastAsia="zh-CN"/>
        </w:rPr>
        <w:t>采购活动</w:t>
      </w:r>
      <w:r>
        <w:rPr>
          <w:rFonts w:hint="eastAsia" w:ascii="仿宋" w:hAnsi="仿宋" w:eastAsia="仿宋" w:cs="仿宋"/>
          <w:color w:val="auto"/>
          <w:sz w:val="28"/>
          <w:szCs w:val="28"/>
          <w:highlight w:val="none"/>
        </w:rPr>
        <w:t>不得有下列情形：</w:t>
      </w:r>
    </w:p>
    <w:p w14:paraId="4BE814E6">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（1）提供虚假材料谋取</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w:t>
      </w:r>
    </w:p>
    <w:p w14:paraId="61981D1A">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（2）采取不正当手段诋毁、排挤其他</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w:t>
      </w:r>
    </w:p>
    <w:p w14:paraId="696C38AC">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（3）与采购人、或其他</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恶意串通；</w:t>
      </w:r>
    </w:p>
    <w:p w14:paraId="090D1705">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（4）向采购人、</w:t>
      </w:r>
      <w:r>
        <w:rPr>
          <w:rFonts w:hint="eastAsia" w:ascii="仿宋" w:hAnsi="仿宋" w:eastAsia="仿宋" w:cs="仿宋"/>
          <w:color w:val="auto"/>
          <w:sz w:val="28"/>
          <w:szCs w:val="28"/>
          <w:highlight w:val="none"/>
          <w:lang w:eastAsia="zh-CN"/>
        </w:rPr>
        <w:t>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lang w:eastAsia="zh-CN"/>
        </w:rPr>
        <w:t>委员会</w:t>
      </w:r>
      <w:r>
        <w:rPr>
          <w:rFonts w:hint="eastAsia" w:ascii="仿宋" w:hAnsi="仿宋" w:eastAsia="仿宋" w:cs="仿宋"/>
          <w:color w:val="auto"/>
          <w:sz w:val="28"/>
          <w:szCs w:val="28"/>
          <w:highlight w:val="none"/>
        </w:rPr>
        <w:t>成员行贿或者提供其他不正当利益；</w:t>
      </w:r>
    </w:p>
    <w:p w14:paraId="34192960">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过程中与采购人进行协商；</w:t>
      </w:r>
    </w:p>
    <w:p w14:paraId="1B23F474">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后无正当理由拒不与采购人签订采购合同；</w:t>
      </w:r>
    </w:p>
    <w:p w14:paraId="6A8CC723">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（7）未按照</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文件确定的事项签订采购合同；</w:t>
      </w:r>
    </w:p>
    <w:p w14:paraId="7E21F47F">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（8）将采购合同转包或者违规分包；</w:t>
      </w:r>
    </w:p>
    <w:p w14:paraId="050E3B85">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（9）提供假冒伪劣产品；</w:t>
      </w:r>
    </w:p>
    <w:p w14:paraId="5424BC55">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（10）擅自变更、中止或者终止采购合同；</w:t>
      </w:r>
    </w:p>
    <w:p w14:paraId="139C36B1">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（11）拒绝有关部门的监督检查或者向监督检查部门提供虚假情况；</w:t>
      </w:r>
    </w:p>
    <w:p w14:paraId="7A30C9AD">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（12）法律法规规定的其他情形。</w:t>
      </w:r>
    </w:p>
    <w:p w14:paraId="0AC1F31A">
      <w:pPr>
        <w:shd w:val="clea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有上述情形的，按照规定追究法律责任，具备（1）-（10）条情形之一的，同时将取消被确认为</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的资格或者认定</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无效。</w:t>
      </w:r>
    </w:p>
    <w:p w14:paraId="2873501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35.2 供应商有下列情形之一的，视为供应商串通投标，其投标无效：</w:t>
      </w:r>
    </w:p>
    <w:p w14:paraId="5EC52288">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文件由同一单位或者个人编制；</w:t>
      </w:r>
    </w:p>
    <w:p w14:paraId="0BBB801D">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委托同一单位或者个人办理投标事宜；</w:t>
      </w:r>
    </w:p>
    <w:p w14:paraId="6D0A9BC4">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文件载明的项目管理成员或者联系人员为同一人；</w:t>
      </w:r>
    </w:p>
    <w:p w14:paraId="3D2DBE1E">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文件异常一致或者报价呈规律性差异；</w:t>
      </w:r>
    </w:p>
    <w:p w14:paraId="1E4AE9C2">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文件相互混装；</w:t>
      </w:r>
    </w:p>
    <w:p w14:paraId="10BE7D7A">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的保证金从同一单位或者个人的账户转出。</w:t>
      </w:r>
    </w:p>
    <w:p w14:paraId="393971CB">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35.3 供应商存在下列情况之一的，投标无效:</w:t>
      </w:r>
    </w:p>
    <w:p w14:paraId="07E82AC3">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（1）未按照</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文件的规定提交保证金的；</w:t>
      </w:r>
    </w:p>
    <w:p w14:paraId="355BAE31">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文件未按</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文件要求签署、盖章的；</w:t>
      </w:r>
    </w:p>
    <w:p w14:paraId="0D7F4E2A">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（3）不具备</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文件中规定的资格要求的；</w:t>
      </w:r>
    </w:p>
    <w:p w14:paraId="6680D9D2">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（4）报价超过</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文件中规定的预算金额或者最高限价的；</w:t>
      </w:r>
    </w:p>
    <w:p w14:paraId="425CC61F">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文件含有采购人不能接受的附加条件的；</w:t>
      </w:r>
    </w:p>
    <w:p w14:paraId="1F182D6A">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（6）法律、法规和</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文件规定的其他无效情形。</w:t>
      </w:r>
    </w:p>
    <w:p w14:paraId="5E8D7EC9">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36.采购人员及相关人员回避要求</w:t>
      </w:r>
    </w:p>
    <w:p w14:paraId="782B80C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采购活动中，采购人员及相关人员与</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有下列利害关系之一的，应当回避：</w:t>
      </w:r>
    </w:p>
    <w:p w14:paraId="1B0A03D4">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（1）参加采购活动前3年内与</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存在劳动关系；</w:t>
      </w:r>
    </w:p>
    <w:p w14:paraId="2477297B">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（2）参加采购活动前3年内担任</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的董事、监事；</w:t>
      </w:r>
    </w:p>
    <w:p w14:paraId="5FCA41D2">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（3）参加采购活动前3年内是</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的控股股东或者实际控制人；</w:t>
      </w:r>
    </w:p>
    <w:p w14:paraId="395515EE">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的法定代表人或者负责人有夫妻、直系血亲、三代以内旁系血亲或者近姻亲关系；</w:t>
      </w:r>
    </w:p>
    <w:p w14:paraId="381169D0">
      <w:pPr>
        <w:keepNext w:val="0"/>
        <w:keepLines w:val="0"/>
        <w:pageBreakBefore w:val="0"/>
        <w:widowControl w:val="0"/>
        <w:shd w:val="clear"/>
        <w:kinsoku/>
        <w:wordWrap/>
        <w:overflowPunct/>
        <w:topLinePunct w:val="0"/>
        <w:autoSpaceDE/>
        <w:autoSpaceDN/>
        <w:bidi w:val="0"/>
        <w:adjustRightInd/>
        <w:snapToGrid/>
        <w:spacing w:line="560" w:lineRule="exact"/>
        <w:ind w:firstLine="420"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有其他可能影响</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采购活动公平、公正进行的关系。</w:t>
      </w:r>
    </w:p>
    <w:p w14:paraId="096343F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认为采购人员及相关人员与其他</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有利害关系的，可以向代理机构书面提出回避申请，并说明理由。代理机构将及时询问被申请回避人员，有利害关系的被申请回避人员应当回避。</w:t>
      </w:r>
    </w:p>
    <w:p w14:paraId="05F94BF2">
      <w:pPr>
        <w:spacing w:before="260" w:after="260"/>
        <w:jc w:val="center"/>
        <w:outlineLvl w:val="1"/>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八、询问、质疑和投诉</w:t>
      </w:r>
    </w:p>
    <w:p w14:paraId="698BD0E5">
      <w:pPr>
        <w:keepNext w:val="0"/>
        <w:keepLines w:val="0"/>
        <w:pageBreakBefore w:val="0"/>
        <w:widowControl w:val="0"/>
        <w:kinsoku/>
        <w:wordWrap/>
        <w:overflowPunct/>
        <w:topLinePunct w:val="0"/>
        <w:autoSpaceDE/>
        <w:autoSpaceDN/>
        <w:bidi w:val="0"/>
        <w:adjustRightInd/>
        <w:snapToGrid/>
        <w:spacing w:line="560" w:lineRule="exact"/>
        <w:ind w:left="0" w:firstLine="420" w:firstLineChars="150"/>
        <w:textAlignment w:val="auto"/>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（一）涉及本项目的质疑期限严格按照</w:t>
      </w:r>
      <w:r>
        <w:rPr>
          <w:rFonts w:ascii="仿宋" w:hAnsi="仿宋" w:eastAsia="仿宋" w:cs="仿宋_GB2312"/>
          <w:color w:val="auto"/>
          <w:sz w:val="28"/>
          <w:szCs w:val="28"/>
          <w:highlight w:val="none"/>
        </w:rPr>
        <w:t>本</w:t>
      </w:r>
      <w:r>
        <w:rPr>
          <w:rFonts w:hint="eastAsia" w:ascii="仿宋" w:hAnsi="仿宋" w:eastAsia="仿宋" w:cs="仿宋_GB2312"/>
          <w:color w:val="auto"/>
          <w:sz w:val="28"/>
          <w:szCs w:val="28"/>
          <w:highlight w:val="none"/>
          <w:lang w:eastAsia="zh-CN"/>
        </w:rPr>
        <w:t>磋商</w:t>
      </w:r>
      <w:r>
        <w:rPr>
          <w:rFonts w:hint="eastAsia" w:ascii="仿宋" w:hAnsi="仿宋" w:eastAsia="仿宋" w:cs="仿宋_GB2312"/>
          <w:color w:val="auto"/>
          <w:sz w:val="28"/>
          <w:szCs w:val="28"/>
          <w:highlight w:val="none"/>
        </w:rPr>
        <w:t>文件</w:t>
      </w:r>
      <w:r>
        <w:rPr>
          <w:rFonts w:ascii="仿宋" w:hAnsi="仿宋" w:eastAsia="仿宋" w:cs="仿宋_GB2312"/>
          <w:color w:val="auto"/>
          <w:sz w:val="28"/>
          <w:szCs w:val="28"/>
          <w:highlight w:val="none"/>
        </w:rPr>
        <w:t>的</w:t>
      </w:r>
      <w:r>
        <w:rPr>
          <w:rFonts w:hint="eastAsia" w:ascii="仿宋" w:hAnsi="仿宋" w:eastAsia="仿宋" w:cs="仿宋_GB2312"/>
          <w:color w:val="auto"/>
          <w:sz w:val="28"/>
          <w:szCs w:val="28"/>
          <w:highlight w:val="none"/>
        </w:rPr>
        <w:t>规定执行：</w:t>
      </w:r>
    </w:p>
    <w:p w14:paraId="45FEB5B8">
      <w:pPr>
        <w:spacing w:line="560" w:lineRule="exact"/>
        <w:ind w:firstLine="560"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1、报名供应商对</w:t>
      </w:r>
      <w:r>
        <w:rPr>
          <w:rFonts w:hint="eastAsia" w:ascii="仿宋" w:hAnsi="仿宋" w:eastAsia="仿宋" w:cs="仿宋_GB2312"/>
          <w:color w:val="auto"/>
          <w:sz w:val="28"/>
          <w:szCs w:val="28"/>
          <w:highlight w:val="none"/>
          <w:lang w:val="en-US" w:eastAsia="zh-CN"/>
        </w:rPr>
        <w:t>磋商</w:t>
      </w:r>
      <w:r>
        <w:rPr>
          <w:rFonts w:hint="eastAsia" w:ascii="仿宋" w:hAnsi="仿宋" w:eastAsia="仿宋" w:cs="仿宋_GB2312"/>
          <w:color w:val="auto"/>
          <w:sz w:val="28"/>
          <w:szCs w:val="28"/>
          <w:highlight w:val="none"/>
        </w:rPr>
        <w:t>文件提出质疑的，为收到</w:t>
      </w:r>
      <w:r>
        <w:rPr>
          <w:rFonts w:hint="eastAsia" w:ascii="仿宋" w:hAnsi="仿宋" w:eastAsia="仿宋" w:cs="仿宋_GB2312"/>
          <w:color w:val="auto"/>
          <w:sz w:val="28"/>
          <w:szCs w:val="28"/>
          <w:highlight w:val="none"/>
          <w:lang w:eastAsia="zh-CN"/>
        </w:rPr>
        <w:t>磋商</w:t>
      </w:r>
      <w:r>
        <w:rPr>
          <w:rFonts w:hint="eastAsia" w:ascii="仿宋" w:hAnsi="仿宋" w:eastAsia="仿宋" w:cs="仿宋_GB2312"/>
          <w:color w:val="auto"/>
          <w:sz w:val="28"/>
          <w:szCs w:val="28"/>
          <w:highlight w:val="none"/>
        </w:rPr>
        <w:t>文件之日起七个工作日内；</w:t>
      </w:r>
    </w:p>
    <w:p w14:paraId="2DCCEFA4">
      <w:pPr>
        <w:spacing w:line="560" w:lineRule="exact"/>
        <w:ind w:firstLine="560"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2、合格供应商</w:t>
      </w:r>
      <w:r>
        <w:rPr>
          <w:rFonts w:hint="eastAsia" w:ascii="仿宋" w:hAnsi="仿宋" w:eastAsia="仿宋" w:cs="仿宋_GB2312"/>
          <w:color w:val="auto"/>
          <w:w w:val="96"/>
          <w:sz w:val="28"/>
          <w:szCs w:val="28"/>
          <w:highlight w:val="none"/>
        </w:rPr>
        <w:t>对开评标过程提出质疑的，为开评标环节结束之日起七个工作日内；</w:t>
      </w:r>
    </w:p>
    <w:p w14:paraId="4A93C000">
      <w:pPr>
        <w:spacing w:line="560" w:lineRule="exact"/>
        <w:ind w:firstLine="560"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3、合格供应商对成交结果提出质疑的，为成交公告期限届满之日起</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rPr>
        <w:t>个工作日内。</w:t>
      </w:r>
    </w:p>
    <w:p w14:paraId="606F7499">
      <w:pPr>
        <w:keepNext w:val="0"/>
        <w:keepLines w:val="0"/>
        <w:pageBreakBefore w:val="0"/>
        <w:widowControl/>
        <w:kinsoku/>
        <w:wordWrap/>
        <w:overflowPunct/>
        <w:topLinePunct w:val="0"/>
        <w:autoSpaceDE w:val="0"/>
        <w:autoSpaceDN w:val="0"/>
        <w:bidi w:val="0"/>
        <w:adjustRightInd w:val="0"/>
        <w:snapToGrid/>
        <w:spacing w:line="560" w:lineRule="exact"/>
        <w:ind w:firstLine="420" w:firstLineChars="150"/>
        <w:jc w:val="left"/>
        <w:textAlignment w:val="auto"/>
        <w:rPr>
          <w:rFonts w:ascii="仿宋" w:hAnsi="仿宋" w:eastAsia="仿宋" w:cs="宋体"/>
          <w:color w:val="auto"/>
          <w:kern w:val="0"/>
          <w:sz w:val="28"/>
          <w:szCs w:val="28"/>
          <w:highlight w:val="none"/>
          <w:lang w:val="zh-CN"/>
        </w:rPr>
      </w:pPr>
      <w:r>
        <w:rPr>
          <w:rFonts w:hint="eastAsia" w:ascii="仿宋" w:hAnsi="仿宋" w:eastAsia="仿宋" w:cs="宋体"/>
          <w:color w:val="auto"/>
          <w:kern w:val="0"/>
          <w:sz w:val="28"/>
          <w:szCs w:val="28"/>
          <w:highlight w:val="none"/>
          <w:lang w:val="zh-CN"/>
        </w:rPr>
        <w:t>（</w:t>
      </w:r>
      <w:r>
        <w:rPr>
          <w:rFonts w:hint="eastAsia" w:ascii="仿宋" w:hAnsi="仿宋" w:eastAsia="仿宋" w:cs="宋体"/>
          <w:color w:val="auto"/>
          <w:kern w:val="0"/>
          <w:sz w:val="28"/>
          <w:szCs w:val="28"/>
          <w:highlight w:val="none"/>
          <w:lang w:val="en-US" w:eastAsia="zh-CN"/>
        </w:rPr>
        <w:t>二</w:t>
      </w:r>
      <w:r>
        <w:rPr>
          <w:rFonts w:hint="eastAsia" w:ascii="仿宋" w:hAnsi="仿宋" w:eastAsia="仿宋" w:cs="宋体"/>
          <w:color w:val="auto"/>
          <w:kern w:val="0"/>
          <w:sz w:val="28"/>
          <w:szCs w:val="28"/>
          <w:highlight w:val="none"/>
          <w:lang w:val="zh-CN"/>
        </w:rPr>
        <w:t>）供应商的</w:t>
      </w:r>
      <w:r>
        <w:rPr>
          <w:rFonts w:hint="eastAsia" w:ascii="仿宋" w:hAnsi="仿宋" w:eastAsia="仿宋" w:cs="宋体"/>
          <w:color w:val="auto"/>
          <w:kern w:val="0"/>
          <w:sz w:val="28"/>
          <w:szCs w:val="28"/>
          <w:highlight w:val="none"/>
          <w:lang w:val="en-US" w:eastAsia="zh-CN"/>
        </w:rPr>
        <w:t>询问、</w:t>
      </w:r>
      <w:r>
        <w:rPr>
          <w:rFonts w:hint="eastAsia" w:ascii="仿宋" w:hAnsi="仿宋" w:eastAsia="仿宋" w:cs="宋体"/>
          <w:color w:val="auto"/>
          <w:kern w:val="0"/>
          <w:sz w:val="28"/>
          <w:szCs w:val="28"/>
          <w:highlight w:val="none"/>
          <w:lang w:val="zh-CN"/>
        </w:rPr>
        <w:t>质疑须登录《乐山市国有企业阳光采购服务平台》提交，不接受电话、</w:t>
      </w:r>
      <w:r>
        <w:rPr>
          <w:rFonts w:hint="eastAsia" w:ascii="仿宋" w:hAnsi="仿宋" w:eastAsia="仿宋" w:cs="宋体"/>
          <w:color w:val="auto"/>
          <w:kern w:val="0"/>
          <w:sz w:val="28"/>
          <w:szCs w:val="28"/>
          <w:highlight w:val="none"/>
          <w:lang w:val="en-US" w:eastAsia="zh-CN"/>
        </w:rPr>
        <w:t>邮件</w:t>
      </w:r>
      <w:r>
        <w:rPr>
          <w:rFonts w:hint="eastAsia" w:ascii="仿宋" w:hAnsi="仿宋" w:eastAsia="仿宋" w:cs="宋体"/>
          <w:color w:val="auto"/>
          <w:kern w:val="0"/>
          <w:sz w:val="28"/>
          <w:szCs w:val="28"/>
          <w:highlight w:val="none"/>
          <w:lang w:val="zh-CN"/>
        </w:rPr>
        <w:t>等质疑。</w:t>
      </w:r>
    </w:p>
    <w:p w14:paraId="069AB386">
      <w:pPr>
        <w:widowControl/>
        <w:autoSpaceDE w:val="0"/>
        <w:autoSpaceDN w:val="0"/>
        <w:adjustRightInd w:val="0"/>
        <w:spacing w:line="560" w:lineRule="exact"/>
        <w:ind w:firstLine="562" w:firstLineChars="200"/>
        <w:jc w:val="left"/>
        <w:rPr>
          <w:rFonts w:ascii="仿宋" w:hAnsi="仿宋" w:eastAsia="仿宋" w:cs="宋体"/>
          <w:b/>
          <w:bCs/>
          <w:color w:val="auto"/>
          <w:kern w:val="0"/>
          <w:sz w:val="28"/>
          <w:szCs w:val="28"/>
          <w:highlight w:val="none"/>
          <w:lang w:val="zh-CN"/>
        </w:rPr>
      </w:pPr>
      <w:r>
        <w:rPr>
          <w:rFonts w:hint="eastAsia" w:ascii="仿宋" w:hAnsi="仿宋" w:eastAsia="仿宋" w:cs="宋体"/>
          <w:b/>
          <w:bCs/>
          <w:color w:val="auto"/>
          <w:kern w:val="0"/>
          <w:sz w:val="28"/>
          <w:szCs w:val="28"/>
          <w:highlight w:val="none"/>
          <w:lang w:val="zh-CN"/>
        </w:rPr>
        <w:t>供应商在法定质疑期内应一次性提出针对同一采购程序</w:t>
      </w:r>
      <w:r>
        <w:rPr>
          <w:rFonts w:ascii="仿宋" w:hAnsi="仿宋" w:eastAsia="仿宋" w:cs="宋体"/>
          <w:b/>
          <w:bCs/>
          <w:color w:val="auto"/>
          <w:kern w:val="0"/>
          <w:sz w:val="28"/>
          <w:szCs w:val="28"/>
          <w:highlight w:val="none"/>
          <w:lang w:val="zh-CN"/>
        </w:rPr>
        <w:t>、</w:t>
      </w:r>
      <w:r>
        <w:rPr>
          <w:rFonts w:hint="eastAsia" w:ascii="仿宋" w:hAnsi="仿宋" w:eastAsia="仿宋" w:cs="宋体"/>
          <w:b/>
          <w:bCs/>
          <w:color w:val="auto"/>
          <w:kern w:val="0"/>
          <w:sz w:val="28"/>
          <w:szCs w:val="28"/>
          <w:highlight w:val="none"/>
          <w:lang w:val="zh-CN"/>
        </w:rPr>
        <w:t>环节的质疑</w:t>
      </w:r>
      <w:r>
        <w:rPr>
          <w:rFonts w:ascii="仿宋" w:hAnsi="仿宋" w:eastAsia="仿宋" w:cs="宋体"/>
          <w:b/>
          <w:bCs/>
          <w:color w:val="auto"/>
          <w:kern w:val="0"/>
          <w:sz w:val="28"/>
          <w:szCs w:val="28"/>
          <w:highlight w:val="none"/>
          <w:lang w:val="zh-CN"/>
        </w:rPr>
        <w:t>。</w:t>
      </w:r>
    </w:p>
    <w:p w14:paraId="03DCF363">
      <w:pPr>
        <w:pStyle w:val="43"/>
        <w:tabs>
          <w:tab w:val="left" w:pos="1418"/>
        </w:tabs>
        <w:spacing w:line="560" w:lineRule="exact"/>
        <w:ind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（四）质疑函应当包括下列内容：</w:t>
      </w:r>
    </w:p>
    <w:p w14:paraId="2E0B4742">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供应商的姓名或者名称、地址、邮编、联系人及联系电话；</w:t>
      </w:r>
    </w:p>
    <w:p w14:paraId="3005ABFA">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质疑项目的名称、编号；</w:t>
      </w:r>
    </w:p>
    <w:p w14:paraId="42E8A474">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具体、明确的质疑事项和与质疑事项相关的请求；</w:t>
      </w:r>
    </w:p>
    <w:p w14:paraId="53FBD9AD">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事实依据；</w:t>
      </w:r>
    </w:p>
    <w:p w14:paraId="75106E7B">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必要的法律依据；</w:t>
      </w:r>
    </w:p>
    <w:p w14:paraId="3AB22537">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b/>
          <w:bCs/>
          <w:color w:val="auto"/>
          <w:sz w:val="28"/>
          <w:szCs w:val="28"/>
          <w:highlight w:val="none"/>
          <w:lang w:val="zh-CN"/>
        </w:rPr>
      </w:pPr>
      <w:r>
        <w:rPr>
          <w:rFonts w:hint="eastAsia" w:ascii="仿宋" w:hAnsi="仿宋" w:eastAsia="仿宋"/>
          <w:b/>
          <w:bCs/>
          <w:color w:val="auto"/>
          <w:sz w:val="28"/>
          <w:szCs w:val="28"/>
          <w:highlight w:val="none"/>
          <w:lang w:val="zh-CN"/>
        </w:rPr>
        <w:t>提出质疑的日期。</w:t>
      </w:r>
    </w:p>
    <w:p w14:paraId="65283051">
      <w:pPr>
        <w:pStyle w:val="43"/>
        <w:numPr>
          <w:ilvl w:val="0"/>
          <w:numId w:val="1"/>
        </w:numPr>
        <w:tabs>
          <w:tab w:val="left" w:pos="426"/>
          <w:tab w:val="left" w:pos="639"/>
          <w:tab w:val="left" w:pos="852"/>
          <w:tab w:val="left" w:pos="1065"/>
          <w:tab w:val="left" w:pos="1491"/>
        </w:tabs>
        <w:spacing w:line="560" w:lineRule="exact"/>
        <w:ind w:left="0" w:firstLine="562" w:firstLineChars="200"/>
        <w:rPr>
          <w:rFonts w:ascii="仿宋" w:hAnsi="仿宋" w:eastAsia="仿宋"/>
          <w:color w:val="auto"/>
          <w:sz w:val="28"/>
          <w:szCs w:val="28"/>
          <w:highlight w:val="none"/>
          <w:lang w:val="zh-CN"/>
        </w:rPr>
      </w:pPr>
      <w:r>
        <w:rPr>
          <w:rFonts w:hint="eastAsia" w:ascii="仿宋" w:hAnsi="仿宋" w:eastAsia="仿宋"/>
          <w:b/>
          <w:bCs/>
          <w:color w:val="auto"/>
          <w:sz w:val="28"/>
          <w:szCs w:val="28"/>
          <w:highlight w:val="none"/>
          <w:lang w:val="zh-CN"/>
        </w:rPr>
        <w:t>签署。</w:t>
      </w:r>
      <w:r>
        <w:rPr>
          <w:rFonts w:hint="eastAsia" w:ascii="仿宋" w:hAnsi="仿宋" w:eastAsia="仿宋"/>
          <w:color w:val="auto"/>
          <w:sz w:val="28"/>
          <w:szCs w:val="28"/>
          <w:highlight w:val="none"/>
        </w:rPr>
        <w:t>供应商为法人或者其他组织的，应当由法定代表人、主要负责人，或者其授权代表签字或者盖章，并加盖公章</w:t>
      </w:r>
      <w:r>
        <w:rPr>
          <w:rFonts w:hint="eastAsia" w:ascii="仿宋" w:hAnsi="仿宋" w:eastAsia="仿宋"/>
          <w:color w:val="auto"/>
          <w:sz w:val="28"/>
          <w:szCs w:val="28"/>
          <w:highlight w:val="none"/>
          <w:lang w:val="zh-CN"/>
        </w:rPr>
        <w:t>。</w:t>
      </w:r>
    </w:p>
    <w:p w14:paraId="08B105D8">
      <w:pPr>
        <w:pStyle w:val="43"/>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zh-CN"/>
        </w:rPr>
        <w:t>（五）供应商提出质疑应当提交质疑函和必要的证明材料。供应商提出质疑时应当准备的资料:</w:t>
      </w:r>
    </w:p>
    <w:p w14:paraId="0629B4EF">
      <w:pPr>
        <w:pStyle w:val="43"/>
        <w:numPr>
          <w:ilvl w:val="0"/>
          <w:numId w:val="2"/>
        </w:numPr>
        <w:tabs>
          <w:tab w:val="left" w:pos="426"/>
          <w:tab w:val="left" w:pos="852"/>
          <w:tab w:val="left" w:pos="1065"/>
        </w:tabs>
        <w:spacing w:line="560" w:lineRule="exact"/>
        <w:ind w:left="0"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质疑函；</w:t>
      </w:r>
    </w:p>
    <w:p w14:paraId="215633FF">
      <w:pPr>
        <w:pStyle w:val="43"/>
        <w:numPr>
          <w:ilvl w:val="0"/>
          <w:numId w:val="2"/>
        </w:numPr>
        <w:tabs>
          <w:tab w:val="left" w:pos="426"/>
          <w:tab w:val="left" w:pos="852"/>
          <w:tab w:val="left" w:pos="1065"/>
        </w:tabs>
        <w:spacing w:line="560" w:lineRule="exact"/>
        <w:ind w:left="0"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法定代表人授权委托书（加盖公章，委托代理人办理质疑事宜的需提供）；</w:t>
      </w:r>
    </w:p>
    <w:p w14:paraId="0318E285">
      <w:pPr>
        <w:pStyle w:val="43"/>
        <w:numPr>
          <w:ilvl w:val="0"/>
          <w:numId w:val="2"/>
        </w:numPr>
        <w:tabs>
          <w:tab w:val="left" w:pos="426"/>
          <w:tab w:val="left" w:pos="852"/>
          <w:tab w:val="left" w:pos="1065"/>
        </w:tabs>
        <w:spacing w:line="560" w:lineRule="exact"/>
        <w:ind w:left="0"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营业执照复印件（加盖公章）；</w:t>
      </w:r>
    </w:p>
    <w:p w14:paraId="3DC6F24B">
      <w:pPr>
        <w:pStyle w:val="43"/>
        <w:numPr>
          <w:ilvl w:val="0"/>
          <w:numId w:val="2"/>
        </w:numPr>
        <w:tabs>
          <w:tab w:val="left" w:pos="426"/>
          <w:tab w:val="left" w:pos="852"/>
          <w:tab w:val="left" w:pos="1065"/>
        </w:tabs>
        <w:spacing w:line="560" w:lineRule="exact"/>
        <w:ind w:left="0"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法定代表人身份证复印件（加盖公章）；</w:t>
      </w:r>
    </w:p>
    <w:p w14:paraId="219016F3">
      <w:pPr>
        <w:pStyle w:val="43"/>
        <w:numPr>
          <w:ilvl w:val="0"/>
          <w:numId w:val="2"/>
        </w:numPr>
        <w:tabs>
          <w:tab w:val="left" w:pos="426"/>
          <w:tab w:val="left" w:pos="852"/>
          <w:tab w:val="left" w:pos="1065"/>
        </w:tabs>
        <w:spacing w:line="560" w:lineRule="exact"/>
        <w:ind w:left="0" w:firstLine="560" w:firstLineChars="200"/>
        <w:rPr>
          <w:rFonts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委托代理人身份证复印件（加盖公章，委托代理人办理质疑事宜的需提供）。</w:t>
      </w:r>
    </w:p>
    <w:p w14:paraId="17BCC5E1">
      <w:pPr>
        <w:spacing w:line="560" w:lineRule="exact"/>
        <w:ind w:firstLine="562" w:firstLineChars="200"/>
        <w:jc w:val="left"/>
        <w:rPr>
          <w:rFonts w:ascii="仿宋" w:hAnsi="仿宋" w:eastAsia="仿宋" w:cs="仿宋"/>
          <w:color w:val="auto"/>
          <w:sz w:val="28"/>
          <w:szCs w:val="28"/>
          <w:highlight w:val="none"/>
        </w:rPr>
      </w:pPr>
      <w:r>
        <w:rPr>
          <w:rFonts w:hint="eastAsia" w:ascii="仿宋" w:hAnsi="仿宋" w:eastAsia="仿宋" w:cs="宋体"/>
          <w:b/>
          <w:bCs/>
          <w:color w:val="auto"/>
          <w:kern w:val="0"/>
          <w:sz w:val="28"/>
          <w:szCs w:val="28"/>
          <w:highlight w:val="none"/>
          <w:lang w:val="zh-CN"/>
        </w:rPr>
        <w:t>参与本项目的供应商应认真阅读并充分理解本条款的内容，因供应商未按上述要求和国家相关规定进行质疑，自行负责由此造成的供应商权利失效和其他损失</w:t>
      </w:r>
      <w:r>
        <w:rPr>
          <w:rFonts w:ascii="仿宋" w:hAnsi="仿宋" w:eastAsia="仿宋" w:cs="宋体"/>
          <w:b/>
          <w:bCs/>
          <w:color w:val="auto"/>
          <w:kern w:val="0"/>
          <w:sz w:val="28"/>
          <w:szCs w:val="28"/>
          <w:highlight w:val="none"/>
        </w:rPr>
        <w:t>。</w:t>
      </w:r>
    </w:p>
    <w:p w14:paraId="2708F1E0">
      <w:pPr>
        <w:pStyle w:val="3"/>
        <w:keepNext/>
        <w:keepLines w:val="0"/>
        <w:pageBreakBefore w:val="0"/>
        <w:widowControl w:val="0"/>
        <w:shd w:val="clear" w:color="auto" w:fill="auto"/>
        <w:kinsoku/>
        <w:wordWrap/>
        <w:overflowPunct/>
        <w:topLinePunct w:val="0"/>
        <w:autoSpaceDE/>
        <w:autoSpaceDN/>
        <w:bidi w:val="0"/>
        <w:adjustRightInd w:val="0"/>
        <w:snapToGrid/>
        <w:spacing w:before="180" w:after="180" w:line="560" w:lineRule="exact"/>
        <w:jc w:val="center"/>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九、其  他</w:t>
      </w:r>
    </w:p>
    <w:p w14:paraId="311A80D6">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62" w:firstLineChars="200"/>
        <w:jc w:val="left"/>
        <w:outlineLvl w:val="2"/>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7</w:t>
      </w:r>
      <w:r>
        <w:rPr>
          <w:rFonts w:hint="eastAsia" w:ascii="仿宋" w:hAnsi="仿宋" w:eastAsia="仿宋" w:cs="仿宋"/>
          <w:b/>
          <w:bCs/>
          <w:color w:val="auto"/>
          <w:sz w:val="28"/>
          <w:szCs w:val="28"/>
          <w:highlight w:val="none"/>
        </w:rPr>
        <w:t>.</w:t>
      </w:r>
      <w:r>
        <w:rPr>
          <w:rFonts w:hint="eastAsia" w:ascii="仿宋" w:hAnsi="仿宋" w:eastAsia="仿宋" w:cs="仿宋"/>
          <w:color w:val="auto"/>
          <w:sz w:val="28"/>
          <w:szCs w:val="28"/>
          <w:highlight w:val="none"/>
        </w:rPr>
        <w:t>本磋商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做调整。</w:t>
      </w:r>
    </w:p>
    <w:p w14:paraId="140094D4">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62" w:firstLineChars="200"/>
        <w:jc w:val="left"/>
        <w:outlineLvl w:val="2"/>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38</w:t>
      </w:r>
      <w:r>
        <w:rPr>
          <w:rFonts w:hint="eastAsia" w:ascii="仿宋" w:hAnsi="仿宋" w:eastAsia="仿宋" w:cs="仿宋"/>
          <w:b/>
          <w:bCs/>
          <w:color w:val="auto"/>
          <w:sz w:val="28"/>
          <w:szCs w:val="28"/>
          <w:highlight w:val="none"/>
        </w:rPr>
        <w:t>.（实质性要求）</w:t>
      </w:r>
      <w:r>
        <w:rPr>
          <w:rFonts w:hint="eastAsia" w:ascii="仿宋" w:hAnsi="仿宋" w:eastAsia="仿宋" w:cs="仿宋"/>
          <w:color w:val="auto"/>
          <w:sz w:val="28"/>
          <w:szCs w:val="28"/>
          <w:highlight w:val="none"/>
        </w:rPr>
        <w:t>国家或行业主管部门对供应商和采购产品的技术标准、质量标准和资格资质条件等有强制性规定的，必须符合其要求。</w:t>
      </w:r>
    </w:p>
    <w:p w14:paraId="686618D5">
      <w:pPr>
        <w:spacing w:before="340" w:after="330"/>
        <w:jc w:val="center"/>
        <w:outlineLvl w:val="0"/>
        <w:rPr>
          <w:rFonts w:ascii="仿宋" w:hAnsi="仿宋" w:eastAsia="仿宋" w:cs="仿宋"/>
          <w:b/>
          <w:color w:val="auto"/>
          <w:sz w:val="30"/>
          <w:szCs w:val="30"/>
          <w:highlight w:val="none"/>
        </w:rPr>
      </w:pPr>
      <w:bookmarkStart w:id="144" w:name="_Toc26667"/>
      <w:r>
        <w:rPr>
          <w:rFonts w:hint="eastAsia" w:ascii="仿宋" w:hAnsi="仿宋" w:eastAsia="仿宋" w:cs="仿宋"/>
          <w:b/>
          <w:color w:val="auto"/>
          <w:sz w:val="30"/>
          <w:szCs w:val="30"/>
          <w:highlight w:val="none"/>
        </w:rPr>
        <w:br w:type="page"/>
      </w:r>
      <w:bookmarkStart w:id="145" w:name="_Toc6765"/>
      <w:bookmarkStart w:id="146" w:name="_Toc12890"/>
      <w:bookmarkStart w:id="147" w:name="_Toc22504"/>
      <w:bookmarkStart w:id="148" w:name="_Toc29805"/>
      <w:r>
        <w:rPr>
          <w:rFonts w:hint="eastAsia" w:ascii="仿宋" w:hAnsi="仿宋" w:eastAsia="仿宋" w:cs="仿宋"/>
          <w:b/>
          <w:color w:val="auto"/>
          <w:sz w:val="36"/>
          <w:szCs w:val="36"/>
          <w:highlight w:val="none"/>
        </w:rPr>
        <w:t xml:space="preserve">第三章 </w:t>
      </w:r>
      <w:bookmarkEnd w:id="144"/>
      <w:r>
        <w:rPr>
          <w:rFonts w:hint="eastAsia" w:ascii="仿宋" w:hAnsi="仿宋" w:eastAsia="仿宋" w:cs="仿宋"/>
          <w:b/>
          <w:color w:val="auto"/>
          <w:sz w:val="36"/>
          <w:szCs w:val="36"/>
          <w:highlight w:val="none"/>
        </w:rPr>
        <w:t>供应商资格、资质性要求及相关证明材料</w:t>
      </w:r>
      <w:bookmarkEnd w:id="145"/>
      <w:bookmarkEnd w:id="146"/>
      <w:bookmarkEnd w:id="147"/>
      <w:bookmarkEnd w:id="148"/>
    </w:p>
    <w:tbl>
      <w:tblPr>
        <w:tblStyle w:val="33"/>
        <w:tblpPr w:leftFromText="180" w:rightFromText="180" w:vertAnchor="text" w:horzAnchor="page" w:tblpXSpec="center" w:tblpY="376"/>
        <w:tblOverlap w:val="never"/>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941"/>
        <w:gridCol w:w="2114"/>
        <w:gridCol w:w="3741"/>
      </w:tblGrid>
      <w:tr w14:paraId="0322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10" w:type="dxa"/>
            <w:noWrap w:val="0"/>
            <w:vAlign w:val="center"/>
          </w:tcPr>
          <w:p w14:paraId="24CF699C">
            <w:pPr>
              <w:spacing w:line="440" w:lineRule="exact"/>
              <w:jc w:val="center"/>
              <w:rPr>
                <w:rFonts w:hint="eastAsia" w:ascii="仿宋" w:hAnsi="仿宋" w:eastAsia="仿宋" w:cs="仿宋"/>
                <w:b/>
                <w:bCs/>
                <w:color w:val="auto"/>
                <w:sz w:val="24"/>
                <w:szCs w:val="24"/>
                <w:highlight w:val="none"/>
              </w:rPr>
            </w:pPr>
            <w:bookmarkStart w:id="149" w:name="_Toc5472"/>
            <w:bookmarkStart w:id="150" w:name="_Toc13910"/>
            <w:r>
              <w:rPr>
                <w:rFonts w:hint="eastAsia" w:ascii="仿宋" w:hAnsi="仿宋" w:eastAsia="仿宋" w:cs="仿宋"/>
                <w:b/>
                <w:bCs/>
                <w:color w:val="auto"/>
                <w:sz w:val="24"/>
                <w:szCs w:val="24"/>
                <w:highlight w:val="none"/>
              </w:rPr>
              <w:t>序号</w:t>
            </w:r>
          </w:p>
        </w:tc>
        <w:tc>
          <w:tcPr>
            <w:tcW w:w="2941" w:type="dxa"/>
            <w:noWrap w:val="0"/>
            <w:vAlign w:val="center"/>
          </w:tcPr>
          <w:p w14:paraId="62884AFC">
            <w:pPr>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审查项目</w:t>
            </w:r>
          </w:p>
        </w:tc>
        <w:tc>
          <w:tcPr>
            <w:tcW w:w="2114" w:type="dxa"/>
            <w:noWrap w:val="0"/>
            <w:vAlign w:val="center"/>
          </w:tcPr>
          <w:p w14:paraId="0289954A">
            <w:pPr>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合格条件</w:t>
            </w:r>
          </w:p>
        </w:tc>
        <w:tc>
          <w:tcPr>
            <w:tcW w:w="3741" w:type="dxa"/>
            <w:noWrap w:val="0"/>
            <w:vAlign w:val="center"/>
          </w:tcPr>
          <w:p w14:paraId="6D96892D">
            <w:pPr>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4126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exact"/>
          <w:jc w:val="center"/>
        </w:trPr>
        <w:tc>
          <w:tcPr>
            <w:tcW w:w="710" w:type="dxa"/>
            <w:noWrap w:val="0"/>
            <w:vAlign w:val="center"/>
          </w:tcPr>
          <w:p w14:paraId="59C3BE48">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941" w:type="dxa"/>
            <w:noWrap w:val="0"/>
            <w:vAlign w:val="center"/>
          </w:tcPr>
          <w:p w14:paraId="22442AC1">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具有独立承担民事责任的能力</w:t>
            </w:r>
            <w:r>
              <w:rPr>
                <w:rFonts w:hint="eastAsia" w:ascii="仿宋" w:hAnsi="仿宋" w:eastAsia="仿宋" w:cs="仿宋"/>
                <w:color w:val="auto"/>
                <w:sz w:val="24"/>
                <w:szCs w:val="24"/>
                <w:highlight w:val="none"/>
                <w:lang w:val="en-US" w:eastAsia="zh-CN"/>
              </w:rPr>
              <w:t>的证明材料</w:t>
            </w:r>
          </w:p>
        </w:tc>
        <w:tc>
          <w:tcPr>
            <w:tcW w:w="2114" w:type="dxa"/>
            <w:noWrap w:val="0"/>
            <w:vAlign w:val="center"/>
          </w:tcPr>
          <w:p w14:paraId="357D4E2D">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606A56E4">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供应商为企业的提供有效的营业执照、税务登记证和组织机构代码证或办理了统一</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"http://baike.baidu.com/view/10361871.htm" \t "_blank"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社会信用代码</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的营业执照复印件加盖公章；供应商为事业单位的提供有效的法人证书</w:t>
            </w:r>
            <w:r>
              <w:rPr>
                <w:rFonts w:hint="eastAsia" w:ascii="仿宋" w:hAnsi="仿宋" w:eastAsia="仿宋" w:cs="仿宋"/>
                <w:color w:val="auto"/>
                <w:sz w:val="24"/>
                <w:szCs w:val="24"/>
                <w:highlight w:val="none"/>
                <w:lang w:val="en-US" w:eastAsia="zh-CN"/>
              </w:rPr>
              <w:t>复印件加盖公章</w:t>
            </w:r>
            <w:r>
              <w:rPr>
                <w:rFonts w:hint="eastAsia" w:ascii="仿宋" w:hAnsi="仿宋" w:eastAsia="仿宋" w:cs="仿宋"/>
                <w:color w:val="auto"/>
                <w:sz w:val="24"/>
                <w:szCs w:val="24"/>
                <w:highlight w:val="none"/>
              </w:rPr>
              <w:t>；供应商为其他组织的提供相关证明材料；供应商为自然人的提供身份证</w:t>
            </w:r>
            <w:r>
              <w:rPr>
                <w:rFonts w:hint="eastAsia" w:ascii="仿宋" w:hAnsi="仿宋" w:eastAsia="仿宋" w:cs="仿宋"/>
                <w:color w:val="auto"/>
                <w:sz w:val="24"/>
                <w:szCs w:val="24"/>
                <w:highlight w:val="none"/>
                <w:lang w:val="en-US" w:eastAsia="zh-CN"/>
              </w:rPr>
              <w:t>复印件加盖公章</w:t>
            </w:r>
            <w:r>
              <w:rPr>
                <w:rFonts w:hint="eastAsia" w:ascii="仿宋" w:hAnsi="仿宋" w:eastAsia="仿宋" w:cs="仿宋"/>
                <w:color w:val="auto"/>
                <w:sz w:val="24"/>
                <w:szCs w:val="24"/>
                <w:highlight w:val="none"/>
              </w:rPr>
              <w:t>且具有</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"http://baike.baidu.com/view/10761.htm" \t "_blank"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完全民事行为能力</w:t>
            </w:r>
            <w:r>
              <w:rPr>
                <w:rFonts w:hint="eastAsia" w:ascii="仿宋" w:hAnsi="仿宋" w:eastAsia="仿宋" w:cs="仿宋"/>
                <w:color w:val="auto"/>
                <w:sz w:val="24"/>
                <w:szCs w:val="24"/>
                <w:highlight w:val="none"/>
              </w:rPr>
              <w:fldChar w:fldCharType="end"/>
            </w:r>
          </w:p>
        </w:tc>
      </w:tr>
      <w:tr w14:paraId="7967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exact"/>
          <w:jc w:val="center"/>
        </w:trPr>
        <w:tc>
          <w:tcPr>
            <w:tcW w:w="710" w:type="dxa"/>
            <w:noWrap w:val="0"/>
            <w:vAlign w:val="center"/>
          </w:tcPr>
          <w:p w14:paraId="49F603CB">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941" w:type="dxa"/>
            <w:noWrap w:val="0"/>
            <w:vAlign w:val="center"/>
          </w:tcPr>
          <w:p w14:paraId="6B818743">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具备良好商业信誉的证明材料</w:t>
            </w:r>
          </w:p>
        </w:tc>
        <w:tc>
          <w:tcPr>
            <w:tcW w:w="2114" w:type="dxa"/>
            <w:noWrap w:val="0"/>
            <w:vAlign w:val="center"/>
          </w:tcPr>
          <w:p w14:paraId="610D432B">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1B37513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提供承诺函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格式详见</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文件“资格性</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 xml:space="preserve">文件  </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rPr>
              <w:t>、承诺函”</w:t>
            </w:r>
            <w:r>
              <w:rPr>
                <w:rFonts w:hint="eastAsia" w:ascii="仿宋" w:hAnsi="仿宋" w:eastAsia="仿宋" w:cs="仿宋"/>
                <w:color w:val="auto"/>
                <w:sz w:val="24"/>
                <w:szCs w:val="24"/>
                <w:highlight w:val="none"/>
                <w:lang w:eastAsia="zh-CN"/>
              </w:rPr>
              <w:t>）</w:t>
            </w:r>
          </w:p>
        </w:tc>
      </w:tr>
      <w:tr w14:paraId="5BB1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4" w:hRule="exact"/>
          <w:jc w:val="center"/>
        </w:trPr>
        <w:tc>
          <w:tcPr>
            <w:tcW w:w="710" w:type="dxa"/>
            <w:noWrap w:val="0"/>
            <w:vAlign w:val="center"/>
          </w:tcPr>
          <w:p w14:paraId="30F755A7">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941" w:type="dxa"/>
            <w:noWrap w:val="0"/>
            <w:vAlign w:val="center"/>
          </w:tcPr>
          <w:p w14:paraId="102F3418">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具备健全的财务会计制度的证明材料</w:t>
            </w:r>
          </w:p>
        </w:tc>
        <w:tc>
          <w:tcPr>
            <w:tcW w:w="2114" w:type="dxa"/>
            <w:noWrap w:val="0"/>
            <w:vAlign w:val="center"/>
          </w:tcPr>
          <w:p w14:paraId="427423A8">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6E77D667">
            <w:pP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①可提供202</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年经审计的财务报告复印件（包含审计报告和审计报告中所涉及的财务报表和报表附注），②也可提供202</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年以来任意一个年度投标人内部的财务报表复印件（至少包含资产负债表），③也可提供截至投标文件递交截止日一年内银行出具的资信证明（复印件），④投标人注册时间截至投标文件递交截止日不足一年的，也可提供加盖工商备案主管部门印章的公司章程复印件，</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 5 \* GB3 \* MERGEFORMAT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⑤</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也可提供承诺函（格式详见磋商文件“资格性响应文件  五、承诺函”）</w:t>
            </w:r>
          </w:p>
          <w:p w14:paraId="3295BDDA">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五选一</w:t>
            </w:r>
          </w:p>
        </w:tc>
      </w:tr>
      <w:tr w14:paraId="783A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exact"/>
          <w:jc w:val="center"/>
        </w:trPr>
        <w:tc>
          <w:tcPr>
            <w:tcW w:w="710" w:type="dxa"/>
            <w:noWrap w:val="0"/>
            <w:vAlign w:val="center"/>
          </w:tcPr>
          <w:p w14:paraId="2A8289FC">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2941" w:type="dxa"/>
            <w:noWrap w:val="0"/>
            <w:vAlign w:val="center"/>
          </w:tcPr>
          <w:p w14:paraId="2CCD1AA3">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有依法缴纳税收和社会保障资金的良好记录</w:t>
            </w:r>
            <w:r>
              <w:rPr>
                <w:rFonts w:hint="eastAsia" w:ascii="仿宋" w:hAnsi="仿宋" w:eastAsia="仿宋" w:cs="仿宋"/>
                <w:color w:val="auto"/>
                <w:sz w:val="24"/>
                <w:szCs w:val="24"/>
                <w:highlight w:val="none"/>
                <w:lang w:val="en-US" w:eastAsia="zh-CN"/>
              </w:rPr>
              <w:t>的证明材料</w:t>
            </w:r>
          </w:p>
        </w:tc>
        <w:tc>
          <w:tcPr>
            <w:tcW w:w="2114" w:type="dxa"/>
            <w:noWrap w:val="0"/>
            <w:vAlign w:val="center"/>
          </w:tcPr>
          <w:p w14:paraId="05502B46">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71455CF6">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提供20</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年以来任意1个月的证明材料或提供承诺函（格式详见磋商文件“资格性响应文件  五、承诺函”）</w:t>
            </w:r>
          </w:p>
          <w:p w14:paraId="08FA2476">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二选一</w:t>
            </w:r>
          </w:p>
        </w:tc>
      </w:tr>
      <w:tr w14:paraId="2A63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exact"/>
          <w:jc w:val="center"/>
        </w:trPr>
        <w:tc>
          <w:tcPr>
            <w:tcW w:w="710" w:type="dxa"/>
            <w:noWrap w:val="0"/>
            <w:vAlign w:val="center"/>
          </w:tcPr>
          <w:p w14:paraId="3B1B7ED8">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2941" w:type="dxa"/>
            <w:noWrap w:val="0"/>
            <w:vAlign w:val="center"/>
          </w:tcPr>
          <w:p w14:paraId="10C375DE">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具有履行合同所必需的设备和专业技术售后保障等能力的证明材料</w:t>
            </w:r>
          </w:p>
        </w:tc>
        <w:tc>
          <w:tcPr>
            <w:tcW w:w="2114" w:type="dxa"/>
            <w:noWrap w:val="0"/>
            <w:vAlign w:val="center"/>
          </w:tcPr>
          <w:p w14:paraId="331EDC82">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4236E9A0">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提供承诺函（格式详见磋商文件“资格性响应文件  五、承诺函”）</w:t>
            </w:r>
          </w:p>
        </w:tc>
      </w:tr>
      <w:tr w14:paraId="4018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exact"/>
          <w:jc w:val="center"/>
        </w:trPr>
        <w:tc>
          <w:tcPr>
            <w:tcW w:w="710" w:type="dxa"/>
            <w:noWrap w:val="0"/>
            <w:vAlign w:val="center"/>
          </w:tcPr>
          <w:p w14:paraId="30019FFC">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941" w:type="dxa"/>
            <w:noWrap w:val="0"/>
            <w:vAlign w:val="center"/>
          </w:tcPr>
          <w:p w14:paraId="798D51A7">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参加采购、招投标等活动前三年内，在经营活动中没有重大违法记录和行贿记录的证明材料的</w:t>
            </w:r>
            <w:r>
              <w:rPr>
                <w:rFonts w:hint="eastAsia" w:ascii="仿宋" w:hAnsi="仿宋" w:eastAsia="仿宋" w:cs="仿宋"/>
                <w:color w:val="auto"/>
                <w:sz w:val="24"/>
                <w:szCs w:val="24"/>
                <w:highlight w:val="none"/>
                <w:lang w:val="en-US" w:eastAsia="zh-CN"/>
              </w:rPr>
              <w:t>证明材料</w:t>
            </w:r>
          </w:p>
        </w:tc>
        <w:tc>
          <w:tcPr>
            <w:tcW w:w="2114" w:type="dxa"/>
            <w:noWrap w:val="0"/>
            <w:vAlign w:val="center"/>
          </w:tcPr>
          <w:p w14:paraId="68D5123B">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6AD08838">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提供承诺函（格式详见磋商文件“资格性响应文件  五、承诺函”）</w:t>
            </w:r>
          </w:p>
        </w:tc>
      </w:tr>
      <w:tr w14:paraId="4884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exact"/>
          <w:jc w:val="center"/>
        </w:trPr>
        <w:tc>
          <w:tcPr>
            <w:tcW w:w="710" w:type="dxa"/>
            <w:noWrap w:val="0"/>
            <w:vAlign w:val="center"/>
          </w:tcPr>
          <w:p w14:paraId="2FDC1A13">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2941" w:type="dxa"/>
            <w:noWrap w:val="0"/>
            <w:vAlign w:val="center"/>
          </w:tcPr>
          <w:p w14:paraId="728952E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未被列入采购平台诚信评价体系或黑名单的证明材料</w:t>
            </w:r>
          </w:p>
        </w:tc>
        <w:tc>
          <w:tcPr>
            <w:tcW w:w="2114" w:type="dxa"/>
            <w:noWrap w:val="0"/>
            <w:vAlign w:val="center"/>
          </w:tcPr>
          <w:p w14:paraId="783551B0">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有效</w:t>
            </w:r>
          </w:p>
        </w:tc>
        <w:tc>
          <w:tcPr>
            <w:tcW w:w="3741" w:type="dxa"/>
            <w:noWrap w:val="0"/>
            <w:vAlign w:val="center"/>
          </w:tcPr>
          <w:p w14:paraId="18FF40CE">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提供承诺函（格式详见磋商文件“资格性响应文件  五、承诺函”）</w:t>
            </w:r>
          </w:p>
        </w:tc>
      </w:tr>
      <w:tr w14:paraId="7E29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exact"/>
          <w:jc w:val="center"/>
        </w:trPr>
        <w:tc>
          <w:tcPr>
            <w:tcW w:w="710" w:type="dxa"/>
            <w:noWrap w:val="0"/>
            <w:vAlign w:val="center"/>
          </w:tcPr>
          <w:p w14:paraId="38D6AE45">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2941" w:type="dxa"/>
            <w:noWrap w:val="0"/>
            <w:vAlign w:val="center"/>
          </w:tcPr>
          <w:p w14:paraId="659790FE">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具备法律、行政法规规定的其他条件的证明材料</w:t>
            </w:r>
          </w:p>
        </w:tc>
        <w:tc>
          <w:tcPr>
            <w:tcW w:w="2114" w:type="dxa"/>
            <w:noWrap w:val="0"/>
            <w:vAlign w:val="center"/>
          </w:tcPr>
          <w:p w14:paraId="19BEBEB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778F9AE8">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提供承诺函（格式详见磋商文件“资格性响应文件  五、承诺函”）</w:t>
            </w:r>
          </w:p>
        </w:tc>
      </w:tr>
      <w:tr w14:paraId="04EF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exact"/>
          <w:jc w:val="center"/>
        </w:trPr>
        <w:tc>
          <w:tcPr>
            <w:tcW w:w="710" w:type="dxa"/>
            <w:noWrap w:val="0"/>
            <w:vAlign w:val="center"/>
          </w:tcPr>
          <w:p w14:paraId="620839F9">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2941" w:type="dxa"/>
            <w:noWrap w:val="0"/>
            <w:vAlign w:val="center"/>
          </w:tcPr>
          <w:p w14:paraId="65AFDF14">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法定代表人/单位负责人身份证明材料</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法定代表人/单位负责人授权代理书原件及代理人身份证明材料复印件</w:t>
            </w:r>
          </w:p>
        </w:tc>
        <w:tc>
          <w:tcPr>
            <w:tcW w:w="2114" w:type="dxa"/>
            <w:noWrap w:val="0"/>
            <w:vAlign w:val="center"/>
          </w:tcPr>
          <w:p w14:paraId="43EBADFB">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w:t>
            </w:r>
          </w:p>
        </w:tc>
        <w:tc>
          <w:tcPr>
            <w:tcW w:w="3741" w:type="dxa"/>
            <w:noWrap w:val="0"/>
            <w:vAlign w:val="center"/>
          </w:tcPr>
          <w:p w14:paraId="3E6D4953">
            <w:pPr>
              <w:spacing w:line="44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提供证明</w:t>
            </w:r>
            <w:r>
              <w:rPr>
                <w:rFonts w:hint="eastAsia" w:ascii="仿宋" w:hAnsi="仿宋" w:eastAsia="仿宋" w:cs="仿宋"/>
                <w:color w:val="auto"/>
                <w:sz w:val="24"/>
                <w:szCs w:val="24"/>
                <w:highlight w:val="none"/>
              </w:rPr>
              <w:t>复印件加盖公章</w:t>
            </w:r>
          </w:p>
        </w:tc>
      </w:tr>
    </w:tbl>
    <w:p w14:paraId="26FF0D94">
      <w:pPr>
        <w:pStyle w:val="41"/>
        <w:spacing w:line="500" w:lineRule="exact"/>
        <w:ind w:firstLine="0" w:firstLineChars="0"/>
        <w:rPr>
          <w:rFonts w:hint="eastAsia" w:ascii="仿宋" w:hAnsi="仿宋" w:eastAsia="仿宋"/>
          <w:b/>
          <w:color w:val="auto"/>
          <w:sz w:val="30"/>
          <w:szCs w:val="30"/>
          <w:highlight w:val="none"/>
        </w:rPr>
      </w:pPr>
    </w:p>
    <w:p w14:paraId="52E3AC10">
      <w:pPr>
        <w:pStyle w:val="41"/>
        <w:spacing w:line="500" w:lineRule="exact"/>
        <w:ind w:firstLine="0" w:firstLineChars="0"/>
        <w:rPr>
          <w:rFonts w:ascii="仿宋" w:hAnsi="仿宋" w:eastAsia="仿宋"/>
          <w:b/>
          <w:color w:val="auto"/>
          <w:sz w:val="28"/>
          <w:szCs w:val="28"/>
          <w:highlight w:val="none"/>
        </w:rPr>
      </w:pPr>
      <w:r>
        <w:rPr>
          <w:rFonts w:hint="eastAsia" w:ascii="仿宋" w:hAnsi="仿宋" w:eastAsia="仿宋"/>
          <w:b/>
          <w:color w:val="auto"/>
          <w:sz w:val="28"/>
          <w:szCs w:val="28"/>
          <w:highlight w:val="none"/>
        </w:rPr>
        <w:t>注：</w:t>
      </w:r>
    </w:p>
    <w:p w14:paraId="03534C82">
      <w:pPr>
        <w:spacing w:line="560" w:lineRule="exact"/>
        <w:ind w:firstLine="562" w:firstLineChars="200"/>
        <w:jc w:val="left"/>
        <w:rPr>
          <w:rFonts w:ascii="仿宋" w:hAnsi="仿宋" w:eastAsia="仿宋"/>
          <w:b/>
          <w:color w:val="auto"/>
          <w:sz w:val="28"/>
          <w:szCs w:val="28"/>
          <w:highlight w:val="none"/>
        </w:rPr>
      </w:pPr>
      <w:r>
        <w:rPr>
          <w:rFonts w:hint="eastAsia" w:ascii="仿宋" w:hAnsi="仿宋" w:eastAsia="仿宋"/>
          <w:b/>
          <w:color w:val="auto"/>
          <w:sz w:val="28"/>
          <w:szCs w:val="28"/>
          <w:highlight w:val="none"/>
        </w:rPr>
        <w:t>1、供应商必须提供相应充足材料以证明满足上述要求，经审查任意一项不合格做无效处理。</w:t>
      </w:r>
    </w:p>
    <w:p w14:paraId="29C0F357">
      <w:pPr>
        <w:pStyle w:val="41"/>
        <w:spacing w:line="560" w:lineRule="exact"/>
        <w:ind w:firstLine="572"/>
        <w:jc w:val="left"/>
        <w:rPr>
          <w:rFonts w:ascii="仿宋" w:hAnsi="仿宋" w:eastAsia="仿宋"/>
          <w:bCs/>
          <w:color w:val="auto"/>
          <w:sz w:val="28"/>
          <w:szCs w:val="28"/>
          <w:highlight w:val="none"/>
        </w:rPr>
      </w:pPr>
      <w:r>
        <w:rPr>
          <w:rFonts w:hint="eastAsia" w:ascii="仿宋" w:hAnsi="仿宋" w:eastAsia="仿宋"/>
          <w:bCs/>
          <w:color w:val="auto"/>
          <w:sz w:val="28"/>
          <w:szCs w:val="28"/>
          <w:highlight w:val="none"/>
        </w:rPr>
        <w:t>2、本项目确定供应商重大违法记录中较大数额罚款的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为准。</w:t>
      </w:r>
    </w:p>
    <w:p w14:paraId="40E0C19D">
      <w:pPr>
        <w:pStyle w:val="41"/>
        <w:spacing w:line="560" w:lineRule="exact"/>
        <w:ind w:firstLine="572"/>
        <w:jc w:val="left"/>
        <w:rPr>
          <w:rFonts w:ascii="仿宋" w:hAnsi="仿宋" w:eastAsia="仿宋"/>
          <w:bCs/>
          <w:color w:val="auto"/>
          <w:sz w:val="28"/>
          <w:szCs w:val="28"/>
          <w:highlight w:val="none"/>
        </w:rPr>
      </w:pPr>
      <w:r>
        <w:rPr>
          <w:rFonts w:hint="eastAsia" w:ascii="仿宋" w:hAnsi="仿宋" w:eastAsia="仿宋"/>
          <w:bCs/>
          <w:color w:val="auto"/>
          <w:sz w:val="28"/>
          <w:szCs w:val="28"/>
          <w:highlight w:val="none"/>
        </w:rPr>
        <w:t>3、供应商在参加采购活动前，被纳入法院、工商行政管理部门、税务部门、银行认定的失信名单且在有效期内，或者在前三年采购合同履约过程中及其他经营活动履约过程中未依法履约被有关行政部门处罚（处理）的，本项目不认定其具有良好的商业信誉。</w:t>
      </w:r>
    </w:p>
    <w:p w14:paraId="7070EAAA">
      <w:pPr>
        <w:adjustRightInd w:val="0"/>
        <w:spacing w:line="560" w:lineRule="exact"/>
        <w:ind w:firstLine="560" w:firstLineChars="200"/>
        <w:jc w:val="left"/>
        <w:textAlignment w:val="baseline"/>
        <w:rPr>
          <w:rFonts w:ascii="仿宋" w:hAnsi="仿宋" w:eastAsia="仿宋"/>
          <w:b/>
          <w:color w:val="auto"/>
          <w:sz w:val="28"/>
          <w:szCs w:val="28"/>
          <w:highlight w:val="none"/>
        </w:rPr>
      </w:pPr>
      <w:r>
        <w:rPr>
          <w:rFonts w:hint="eastAsia" w:ascii="仿宋" w:hAnsi="仿宋" w:eastAsia="仿宋"/>
          <w:color w:val="auto"/>
          <w:sz w:val="28"/>
          <w:szCs w:val="28"/>
          <w:highlight w:val="none"/>
        </w:rPr>
        <w:t>4、本章要求提供的相关证明材料，除供应商自愿以外，不能要求供应商提供额外的证明材料。如果要求提供额外的证明材料，供应商有权拒绝提供，且不影响响应文件的有效性和完整性。</w:t>
      </w:r>
    </w:p>
    <w:p w14:paraId="79FE2DC1">
      <w:pPr>
        <w:pStyle w:val="11"/>
        <w:rPr>
          <w:color w:val="auto"/>
          <w:highlight w:val="none"/>
        </w:rPr>
      </w:pPr>
    </w:p>
    <w:p w14:paraId="1B6B6D74">
      <w:pPr>
        <w:spacing w:before="340" w:after="330"/>
        <w:jc w:val="center"/>
        <w:outlineLvl w:val="0"/>
        <w:rPr>
          <w:rFonts w:ascii="仿宋" w:hAnsi="仿宋" w:eastAsia="仿宋" w:cs="仿宋"/>
          <w:b/>
          <w:color w:val="auto"/>
          <w:sz w:val="30"/>
          <w:szCs w:val="30"/>
          <w:highlight w:val="none"/>
        </w:rPr>
      </w:pPr>
      <w:r>
        <w:rPr>
          <w:rFonts w:hint="eastAsia" w:ascii="仿宋" w:hAnsi="仿宋" w:eastAsia="仿宋" w:cs="仿宋"/>
          <w:b/>
          <w:color w:val="auto"/>
          <w:kern w:val="44"/>
          <w:sz w:val="30"/>
          <w:szCs w:val="30"/>
          <w:highlight w:val="none"/>
        </w:rPr>
        <w:br w:type="page"/>
      </w:r>
      <w:bookmarkStart w:id="151" w:name="_Toc27135"/>
      <w:bookmarkStart w:id="152" w:name="_Toc24198"/>
      <w:bookmarkStart w:id="153" w:name="_Toc18240"/>
      <w:bookmarkStart w:id="154" w:name="_Toc2902"/>
      <w:r>
        <w:rPr>
          <w:rFonts w:hint="eastAsia" w:ascii="仿宋" w:hAnsi="仿宋" w:eastAsia="仿宋" w:cs="仿宋"/>
          <w:b/>
          <w:color w:val="auto"/>
          <w:kern w:val="44"/>
          <w:sz w:val="36"/>
          <w:szCs w:val="36"/>
          <w:highlight w:val="none"/>
        </w:rPr>
        <w:t xml:space="preserve">第四章 </w:t>
      </w:r>
      <w:bookmarkEnd w:id="149"/>
      <w:bookmarkEnd w:id="150"/>
      <w:r>
        <w:rPr>
          <w:rFonts w:hint="eastAsia" w:ascii="仿宋" w:hAnsi="仿宋" w:eastAsia="仿宋" w:cs="仿宋"/>
          <w:b/>
          <w:color w:val="auto"/>
          <w:kern w:val="44"/>
          <w:sz w:val="36"/>
          <w:szCs w:val="36"/>
          <w:highlight w:val="none"/>
        </w:rPr>
        <w:t>供应商符合性要求及通过标准</w:t>
      </w:r>
      <w:bookmarkEnd w:id="151"/>
      <w:bookmarkEnd w:id="152"/>
      <w:bookmarkEnd w:id="153"/>
      <w:bookmarkEnd w:id="154"/>
    </w:p>
    <w:tbl>
      <w:tblPr>
        <w:tblStyle w:val="33"/>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4270"/>
        <w:gridCol w:w="4334"/>
      </w:tblGrid>
      <w:tr w14:paraId="5CC5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36" w:type="dxa"/>
            <w:shd w:val="clear" w:color="auto" w:fill="auto"/>
            <w:vAlign w:val="center"/>
          </w:tcPr>
          <w:p w14:paraId="587C5CAF">
            <w:pPr>
              <w:spacing w:line="560" w:lineRule="exact"/>
              <w:jc w:val="center"/>
              <w:rPr>
                <w:rFonts w:ascii="仿宋" w:hAnsi="仿宋" w:eastAsia="仿宋"/>
                <w:b/>
                <w:bCs/>
                <w:color w:val="auto"/>
                <w:kern w:val="0"/>
                <w:sz w:val="24"/>
                <w:szCs w:val="24"/>
                <w:highlight w:val="none"/>
                <w:lang w:eastAsia="en-US" w:bidi="en-US"/>
              </w:rPr>
            </w:pPr>
            <w:r>
              <w:rPr>
                <w:rFonts w:hint="eastAsia" w:ascii="仿宋" w:hAnsi="仿宋" w:eastAsia="仿宋"/>
                <w:b/>
                <w:bCs/>
                <w:color w:val="auto"/>
                <w:kern w:val="0"/>
                <w:sz w:val="24"/>
                <w:szCs w:val="24"/>
                <w:highlight w:val="none"/>
                <w:lang w:eastAsia="en-US" w:bidi="en-US"/>
              </w:rPr>
              <w:t>序号</w:t>
            </w:r>
          </w:p>
        </w:tc>
        <w:tc>
          <w:tcPr>
            <w:tcW w:w="4270" w:type="dxa"/>
            <w:shd w:val="clear" w:color="auto" w:fill="auto"/>
            <w:vAlign w:val="center"/>
          </w:tcPr>
          <w:p w14:paraId="7C0EA63C">
            <w:pPr>
              <w:spacing w:line="560" w:lineRule="exact"/>
              <w:jc w:val="center"/>
              <w:rPr>
                <w:rFonts w:ascii="仿宋" w:hAnsi="仿宋" w:eastAsia="仿宋"/>
                <w:b/>
                <w:bCs/>
                <w:color w:val="auto"/>
                <w:kern w:val="0"/>
                <w:sz w:val="24"/>
                <w:szCs w:val="24"/>
                <w:highlight w:val="none"/>
                <w:lang w:eastAsia="en-US" w:bidi="en-US"/>
              </w:rPr>
            </w:pPr>
            <w:r>
              <w:rPr>
                <w:rFonts w:hint="eastAsia" w:ascii="仿宋" w:hAnsi="仿宋" w:eastAsia="仿宋"/>
                <w:b/>
                <w:bCs/>
                <w:color w:val="auto"/>
                <w:kern w:val="0"/>
                <w:sz w:val="24"/>
                <w:szCs w:val="24"/>
                <w:highlight w:val="none"/>
                <w:lang w:eastAsia="en-US" w:bidi="en-US"/>
              </w:rPr>
              <w:t>审查项目</w:t>
            </w:r>
          </w:p>
        </w:tc>
        <w:tc>
          <w:tcPr>
            <w:tcW w:w="4334" w:type="dxa"/>
            <w:shd w:val="clear" w:color="auto" w:fill="auto"/>
            <w:vAlign w:val="center"/>
          </w:tcPr>
          <w:p w14:paraId="00BCA04B">
            <w:pPr>
              <w:spacing w:line="560" w:lineRule="exact"/>
              <w:jc w:val="center"/>
              <w:rPr>
                <w:rFonts w:ascii="仿宋" w:hAnsi="仿宋" w:eastAsia="仿宋"/>
                <w:b/>
                <w:bCs/>
                <w:color w:val="auto"/>
                <w:kern w:val="0"/>
                <w:sz w:val="24"/>
                <w:szCs w:val="24"/>
                <w:highlight w:val="none"/>
                <w:lang w:eastAsia="en-US" w:bidi="en-US"/>
              </w:rPr>
            </w:pPr>
            <w:r>
              <w:rPr>
                <w:rFonts w:hint="eastAsia" w:ascii="仿宋" w:hAnsi="仿宋" w:eastAsia="仿宋"/>
                <w:b/>
                <w:bCs/>
                <w:color w:val="auto"/>
                <w:kern w:val="0"/>
                <w:sz w:val="24"/>
                <w:szCs w:val="24"/>
                <w:highlight w:val="none"/>
                <w:lang w:bidi="en-US"/>
              </w:rPr>
              <w:t>通过</w:t>
            </w:r>
            <w:r>
              <w:rPr>
                <w:rFonts w:hint="eastAsia" w:ascii="仿宋" w:hAnsi="仿宋" w:eastAsia="仿宋"/>
                <w:b/>
                <w:bCs/>
                <w:color w:val="auto"/>
                <w:kern w:val="0"/>
                <w:sz w:val="24"/>
                <w:szCs w:val="24"/>
                <w:highlight w:val="none"/>
                <w:lang w:eastAsia="en-US" w:bidi="en-US"/>
              </w:rPr>
              <w:t>条件</w:t>
            </w:r>
          </w:p>
        </w:tc>
      </w:tr>
      <w:tr w14:paraId="4C7C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36" w:type="dxa"/>
            <w:shd w:val="clear" w:color="auto" w:fill="auto"/>
            <w:vAlign w:val="center"/>
          </w:tcPr>
          <w:p w14:paraId="5322BB95">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1</w:t>
            </w:r>
          </w:p>
        </w:tc>
        <w:tc>
          <w:tcPr>
            <w:tcW w:w="4270" w:type="dxa"/>
            <w:shd w:val="clear" w:color="auto" w:fill="auto"/>
            <w:vAlign w:val="center"/>
          </w:tcPr>
          <w:p w14:paraId="72FF80B0">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响应文件签署、盖章</w:t>
            </w:r>
          </w:p>
        </w:tc>
        <w:tc>
          <w:tcPr>
            <w:tcW w:w="4334" w:type="dxa"/>
            <w:shd w:val="clear" w:color="auto" w:fill="auto"/>
            <w:vAlign w:val="center"/>
          </w:tcPr>
          <w:p w14:paraId="6A82FFEE">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1AE7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36" w:type="dxa"/>
            <w:shd w:val="clear" w:color="auto" w:fill="auto"/>
            <w:vAlign w:val="center"/>
          </w:tcPr>
          <w:p w14:paraId="3057E865">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2</w:t>
            </w:r>
          </w:p>
        </w:tc>
        <w:tc>
          <w:tcPr>
            <w:tcW w:w="4270" w:type="dxa"/>
            <w:shd w:val="clear" w:color="auto" w:fill="auto"/>
            <w:vAlign w:val="center"/>
          </w:tcPr>
          <w:p w14:paraId="5D2EEE0D">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响应文件组成</w:t>
            </w:r>
          </w:p>
        </w:tc>
        <w:tc>
          <w:tcPr>
            <w:tcW w:w="4334" w:type="dxa"/>
            <w:shd w:val="clear" w:color="auto" w:fill="auto"/>
            <w:vAlign w:val="center"/>
          </w:tcPr>
          <w:p w14:paraId="31EE5A71">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2089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936" w:type="dxa"/>
            <w:shd w:val="clear" w:color="auto" w:fill="auto"/>
            <w:vAlign w:val="center"/>
          </w:tcPr>
          <w:p w14:paraId="65A72D7C">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3</w:t>
            </w:r>
          </w:p>
        </w:tc>
        <w:tc>
          <w:tcPr>
            <w:tcW w:w="4270" w:type="dxa"/>
            <w:shd w:val="clear" w:color="auto" w:fill="auto"/>
            <w:vAlign w:val="center"/>
          </w:tcPr>
          <w:p w14:paraId="33DE3876">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响应文件的格式、语言、计量单位、报价货币、知识产权、有效期等</w:t>
            </w:r>
          </w:p>
        </w:tc>
        <w:tc>
          <w:tcPr>
            <w:tcW w:w="4334" w:type="dxa"/>
            <w:shd w:val="clear" w:color="auto" w:fill="auto"/>
            <w:vAlign w:val="center"/>
          </w:tcPr>
          <w:p w14:paraId="23EFF631">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48BF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36" w:type="dxa"/>
            <w:shd w:val="clear" w:color="auto" w:fill="auto"/>
            <w:vAlign w:val="center"/>
          </w:tcPr>
          <w:p w14:paraId="2432EE97">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4</w:t>
            </w:r>
          </w:p>
        </w:tc>
        <w:tc>
          <w:tcPr>
            <w:tcW w:w="4270" w:type="dxa"/>
            <w:shd w:val="clear" w:color="auto" w:fill="auto"/>
            <w:vAlign w:val="center"/>
          </w:tcPr>
          <w:p w14:paraId="73954D40">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响应文件报价</w:t>
            </w:r>
          </w:p>
        </w:tc>
        <w:tc>
          <w:tcPr>
            <w:tcW w:w="4334" w:type="dxa"/>
            <w:shd w:val="clear" w:color="auto" w:fill="auto"/>
            <w:vAlign w:val="center"/>
          </w:tcPr>
          <w:p w14:paraId="543A5CFD">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27DB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936" w:type="dxa"/>
            <w:shd w:val="clear" w:color="auto" w:fill="auto"/>
            <w:vAlign w:val="center"/>
          </w:tcPr>
          <w:p w14:paraId="562BAEBA">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5</w:t>
            </w:r>
          </w:p>
        </w:tc>
        <w:tc>
          <w:tcPr>
            <w:tcW w:w="4270" w:type="dxa"/>
            <w:shd w:val="clear" w:color="auto" w:fill="auto"/>
            <w:vAlign w:val="center"/>
          </w:tcPr>
          <w:p w14:paraId="6248C29B">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技术、服务应答内容</w:t>
            </w:r>
          </w:p>
        </w:tc>
        <w:tc>
          <w:tcPr>
            <w:tcW w:w="4334" w:type="dxa"/>
            <w:shd w:val="clear" w:color="auto" w:fill="auto"/>
            <w:vAlign w:val="center"/>
          </w:tcPr>
          <w:p w14:paraId="7C791402">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39F6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936" w:type="dxa"/>
            <w:shd w:val="clear" w:color="auto" w:fill="auto"/>
            <w:vAlign w:val="center"/>
          </w:tcPr>
          <w:p w14:paraId="7955BD26">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6</w:t>
            </w:r>
          </w:p>
        </w:tc>
        <w:tc>
          <w:tcPr>
            <w:tcW w:w="4270" w:type="dxa"/>
            <w:shd w:val="clear" w:color="auto" w:fill="auto"/>
            <w:vAlign w:val="center"/>
          </w:tcPr>
          <w:p w14:paraId="17D12347">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采购项目履约时间、方式、数量和其他采购合同主要内容</w:t>
            </w:r>
          </w:p>
        </w:tc>
        <w:tc>
          <w:tcPr>
            <w:tcW w:w="4334" w:type="dxa"/>
            <w:shd w:val="clear" w:color="auto" w:fill="auto"/>
            <w:vAlign w:val="center"/>
          </w:tcPr>
          <w:p w14:paraId="5FAA2C27">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r w14:paraId="0D62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936" w:type="dxa"/>
            <w:shd w:val="clear" w:color="auto" w:fill="auto"/>
            <w:vAlign w:val="center"/>
          </w:tcPr>
          <w:p w14:paraId="173AD42E">
            <w:pPr>
              <w:spacing w:line="560" w:lineRule="exact"/>
              <w:jc w:val="center"/>
              <w:rPr>
                <w:rFonts w:hint="eastAsia" w:ascii="仿宋" w:hAnsi="仿宋" w:eastAsia="仿宋"/>
                <w:color w:val="auto"/>
                <w:kern w:val="0"/>
                <w:sz w:val="24"/>
                <w:szCs w:val="24"/>
                <w:highlight w:val="none"/>
                <w:lang w:eastAsia="zh-CN" w:bidi="en-US"/>
              </w:rPr>
            </w:pPr>
            <w:r>
              <w:rPr>
                <w:rFonts w:hint="eastAsia" w:ascii="仿宋" w:hAnsi="仿宋" w:eastAsia="仿宋"/>
                <w:color w:val="auto"/>
                <w:kern w:val="0"/>
                <w:sz w:val="24"/>
                <w:szCs w:val="24"/>
                <w:highlight w:val="none"/>
                <w:lang w:val="en-US" w:eastAsia="zh-CN" w:bidi="en-US"/>
              </w:rPr>
              <w:t>7</w:t>
            </w:r>
          </w:p>
        </w:tc>
        <w:tc>
          <w:tcPr>
            <w:tcW w:w="4270" w:type="dxa"/>
            <w:shd w:val="clear" w:color="auto" w:fill="auto"/>
            <w:vAlign w:val="center"/>
          </w:tcPr>
          <w:p w14:paraId="5BE3FC9F">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磋商文件规定的其他实质性内容</w:t>
            </w:r>
          </w:p>
        </w:tc>
        <w:tc>
          <w:tcPr>
            <w:tcW w:w="4334" w:type="dxa"/>
            <w:shd w:val="clear" w:color="auto" w:fill="auto"/>
            <w:vAlign w:val="center"/>
          </w:tcPr>
          <w:p w14:paraId="0D76A5AA">
            <w:pPr>
              <w:spacing w:line="560" w:lineRule="exact"/>
              <w:jc w:val="center"/>
              <w:rPr>
                <w:rFonts w:ascii="仿宋" w:hAnsi="仿宋" w:eastAsia="仿宋"/>
                <w:color w:val="auto"/>
                <w:kern w:val="0"/>
                <w:sz w:val="24"/>
                <w:szCs w:val="24"/>
                <w:highlight w:val="none"/>
                <w:lang w:bidi="en-US"/>
              </w:rPr>
            </w:pPr>
            <w:r>
              <w:rPr>
                <w:rFonts w:hint="eastAsia" w:ascii="仿宋" w:hAnsi="仿宋" w:eastAsia="仿宋"/>
                <w:color w:val="auto"/>
                <w:kern w:val="0"/>
                <w:sz w:val="24"/>
                <w:szCs w:val="24"/>
                <w:highlight w:val="none"/>
                <w:lang w:bidi="en-US"/>
              </w:rPr>
              <w:t>符合磋商</w:t>
            </w:r>
            <w:r>
              <w:rPr>
                <w:rFonts w:ascii="仿宋" w:hAnsi="仿宋" w:eastAsia="仿宋"/>
                <w:color w:val="auto"/>
                <w:kern w:val="0"/>
                <w:sz w:val="24"/>
                <w:szCs w:val="24"/>
                <w:highlight w:val="none"/>
                <w:lang w:bidi="en-US"/>
              </w:rPr>
              <w:t>文件要求</w:t>
            </w:r>
          </w:p>
        </w:tc>
      </w:tr>
    </w:tbl>
    <w:p w14:paraId="67A32D90">
      <w:pPr>
        <w:spacing w:line="400" w:lineRule="exact"/>
        <w:jc w:val="both"/>
        <w:rPr>
          <w:rFonts w:hint="eastAsia" w:ascii="仿宋" w:hAnsi="仿宋" w:eastAsia="仿宋" w:cs="仿宋"/>
          <w:b/>
          <w:color w:val="auto"/>
          <w:sz w:val="32"/>
          <w:szCs w:val="32"/>
          <w:highlight w:val="none"/>
          <w:lang w:val="en-US" w:eastAsia="zh-CN"/>
        </w:rPr>
      </w:pPr>
    </w:p>
    <w:p w14:paraId="23D6902D">
      <w:pPr>
        <w:spacing w:before="340" w:after="330"/>
        <w:jc w:val="center"/>
        <w:outlineLvl w:val="0"/>
        <w:rPr>
          <w:rFonts w:hint="eastAsia" w:ascii="仿宋" w:hAnsi="仿宋" w:eastAsia="仿宋" w:cs="仿宋"/>
          <w:b/>
          <w:color w:val="auto"/>
          <w:kern w:val="44"/>
          <w:sz w:val="36"/>
          <w:szCs w:val="36"/>
          <w:highlight w:val="none"/>
        </w:rPr>
      </w:pPr>
      <w:r>
        <w:rPr>
          <w:rFonts w:hint="eastAsia" w:ascii="仿宋" w:hAnsi="仿宋" w:eastAsia="仿宋" w:cs="仿宋"/>
          <w:b/>
          <w:color w:val="auto"/>
          <w:sz w:val="30"/>
          <w:szCs w:val="30"/>
          <w:highlight w:val="none"/>
        </w:rPr>
        <w:br w:type="page"/>
      </w:r>
      <w:bookmarkStart w:id="155" w:name="_Toc28326"/>
      <w:bookmarkStart w:id="156" w:name="_Toc13656"/>
      <w:bookmarkStart w:id="157" w:name="_Toc23220"/>
      <w:bookmarkStart w:id="158" w:name="_Toc22034"/>
      <w:bookmarkStart w:id="159" w:name="_Toc22672"/>
      <w:bookmarkStart w:id="160" w:name="_Toc26875"/>
      <w:r>
        <w:rPr>
          <w:rFonts w:hint="eastAsia" w:ascii="仿宋" w:hAnsi="仿宋" w:eastAsia="仿宋" w:cs="仿宋"/>
          <w:b/>
          <w:color w:val="auto"/>
          <w:kern w:val="44"/>
          <w:sz w:val="36"/>
          <w:szCs w:val="36"/>
          <w:highlight w:val="none"/>
        </w:rPr>
        <w:t>第五章 采购项目技术、服务、采购合同内容条款及其他商务要求</w:t>
      </w:r>
      <w:bookmarkEnd w:id="155"/>
      <w:bookmarkEnd w:id="156"/>
      <w:bookmarkEnd w:id="157"/>
      <w:bookmarkEnd w:id="158"/>
      <w:bookmarkEnd w:id="159"/>
      <w:bookmarkEnd w:id="160"/>
    </w:p>
    <w:bookmarkEnd w:id="107"/>
    <w:bookmarkEnd w:id="108"/>
    <w:bookmarkEnd w:id="109"/>
    <w:bookmarkEnd w:id="110"/>
    <w:bookmarkEnd w:id="111"/>
    <w:p w14:paraId="5DDCA31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bookmarkStart w:id="161" w:name="_Toc17254"/>
      <w:bookmarkStart w:id="162" w:name="_Toc2555"/>
      <w:bookmarkStart w:id="163" w:name="_Toc15165"/>
      <w:bookmarkStart w:id="164" w:name="_Toc13245"/>
      <w:bookmarkStart w:id="165" w:name="_Toc3794"/>
      <w:bookmarkStart w:id="166" w:name="_Toc21309"/>
      <w:bookmarkStart w:id="167" w:name="_Toc183582232"/>
      <w:bookmarkStart w:id="168" w:name="_Toc217446057"/>
      <w:bookmarkStart w:id="169" w:name="_Toc183682369"/>
      <w:r>
        <w:rPr>
          <w:rFonts w:hint="eastAsia" w:ascii="仿宋" w:hAnsi="仿宋" w:eastAsia="仿宋" w:cs="仿宋"/>
          <w:b/>
          <w:bCs/>
          <w:color w:val="auto"/>
          <w:kern w:val="0"/>
          <w:sz w:val="28"/>
          <w:szCs w:val="28"/>
          <w:highlight w:val="none"/>
          <w:lang w:val="en-US" w:eastAsia="zh-CN" w:bidi="ar-SA"/>
        </w:rPr>
        <w:t>一、项目基本情况（实质性要求）：</w:t>
      </w:r>
      <w:bookmarkEnd w:id="161"/>
      <w:bookmarkEnd w:id="162"/>
      <w:bookmarkEnd w:id="163"/>
      <w:bookmarkEnd w:id="164"/>
    </w:p>
    <w:p w14:paraId="439730CF">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1、包1</w:t>
      </w:r>
    </w:p>
    <w:p w14:paraId="4BE664EA">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（1）项目名称：乐山苏稽新区工农路智慧停车场项目结算评审服务项目。</w:t>
      </w:r>
    </w:p>
    <w:p w14:paraId="0A081AA6">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bookmarkStart w:id="170" w:name="_Toc26756"/>
      <w:bookmarkStart w:id="171" w:name="_Toc15695"/>
      <w:r>
        <w:rPr>
          <w:rFonts w:hint="eastAsia" w:ascii="仿宋" w:hAnsi="仿宋" w:eastAsia="仿宋" w:cs="仿宋"/>
          <w:b w:val="0"/>
          <w:bCs w:val="0"/>
          <w:color w:val="auto"/>
          <w:kern w:val="0"/>
          <w:sz w:val="28"/>
          <w:szCs w:val="28"/>
          <w:highlight w:val="none"/>
          <w:lang w:val="en-US" w:eastAsia="zh-CN" w:bidi="ar-SA"/>
        </w:rPr>
        <w:t>（2）工程建设内容及规模：本项目合同金额约3937万元，包含地下停车场一处，配套地上公园--处，建筑面积约10273.39平方米（其中配套管理用房577.26m²，地下停车场9696.13m²），机动车停车位285个，绿地面积28541m²，硬化面积4098.64m²，配套给排水、电力电气等附属设施。</w:t>
      </w:r>
    </w:p>
    <w:p w14:paraId="30651386">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（3）最高限价：</w:t>
      </w:r>
      <w:bookmarkEnd w:id="170"/>
      <w:bookmarkEnd w:id="171"/>
      <w:r>
        <w:rPr>
          <w:rFonts w:hint="eastAsia" w:ascii="仿宋" w:hAnsi="仿宋" w:eastAsia="仿宋" w:cs="仿宋"/>
          <w:b w:val="0"/>
          <w:bCs w:val="0"/>
          <w:color w:val="auto"/>
          <w:kern w:val="0"/>
          <w:sz w:val="28"/>
          <w:szCs w:val="28"/>
          <w:highlight w:val="none"/>
          <w:lang w:val="en-US" w:eastAsia="zh-CN" w:bidi="ar-SA"/>
        </w:rPr>
        <w:t>141250.00元（其中基本审核费用控制价为84750.00元，效益审核费用控制价为56500.00元）。</w:t>
      </w:r>
    </w:p>
    <w:p w14:paraId="3A1B98F8">
      <w:pPr>
        <w:ind w:firstLine="560" w:firstLineChars="200"/>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2、包2</w:t>
      </w:r>
    </w:p>
    <w:p w14:paraId="1CF4198D">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（1）项目名称：乐山奥体中心部分功能提升项目。</w:t>
      </w:r>
    </w:p>
    <w:p w14:paraId="4B21EE35">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工程建设内容及规模：本项目合同金额约259万元，建设内容为清除草皮、人工清运种植土、护栏下镀锌矩管口、看台镀锌横梁口、看台镀锌斜梁口、镀锌钢管栏杆、镀锌矩形管、楼梯支撑镀锌矩管、楼梯踏板扁豆型花纹钢板、楼承钢板（踏板）、镀锌管、座椅铁扣件、中空吹塑中靠背连体座椅（含整体看台所有紧固件） 以及相关设施设备的运输、安装、调试等。</w:t>
      </w:r>
    </w:p>
    <w:p w14:paraId="39A4A3F3">
      <w:pPr>
        <w:pStyle w:val="3"/>
        <w:pageBreakBefore w:val="0"/>
        <w:widowControl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default"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（3）最高限价：9016.00元（其中基本审核费用控制价为5410.00元，效益审核费用控制价为3606.00元）。</w:t>
      </w:r>
    </w:p>
    <w:p w14:paraId="0E389C7B">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bookmarkStart w:id="172" w:name="_Toc7913"/>
      <w:bookmarkStart w:id="173" w:name="_Toc12314"/>
      <w:r>
        <w:rPr>
          <w:rFonts w:hint="eastAsia" w:ascii="仿宋" w:hAnsi="仿宋" w:eastAsia="仿宋" w:cs="仿宋"/>
          <w:b w:val="0"/>
          <w:bCs w:val="0"/>
          <w:color w:val="auto"/>
          <w:kern w:val="0"/>
          <w:sz w:val="28"/>
          <w:szCs w:val="28"/>
          <w:highlight w:val="none"/>
          <w:lang w:val="en-US" w:eastAsia="zh-CN" w:bidi="ar-SA"/>
        </w:rPr>
        <w:t>3、采购包数：共2包。</w:t>
      </w:r>
      <w:bookmarkEnd w:id="172"/>
      <w:bookmarkEnd w:id="173"/>
    </w:p>
    <w:p w14:paraId="6A70FA41">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bookmarkStart w:id="174" w:name="_Toc12292"/>
      <w:bookmarkStart w:id="175" w:name="_Toc25560"/>
      <w:r>
        <w:rPr>
          <w:rFonts w:hint="eastAsia" w:ascii="仿宋" w:hAnsi="仿宋" w:eastAsia="仿宋" w:cs="仿宋"/>
          <w:b w:val="0"/>
          <w:bCs w:val="0"/>
          <w:color w:val="auto"/>
          <w:kern w:val="0"/>
          <w:sz w:val="28"/>
          <w:szCs w:val="28"/>
          <w:highlight w:val="none"/>
          <w:lang w:val="en-US" w:eastAsia="zh-CN" w:bidi="ar-SA"/>
        </w:rPr>
        <w:t>4、资金来源：企业自筹。</w:t>
      </w:r>
      <w:bookmarkEnd w:id="174"/>
      <w:bookmarkEnd w:id="175"/>
    </w:p>
    <w:p w14:paraId="1F9C4FD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bookmarkStart w:id="176" w:name="_Toc7543"/>
      <w:bookmarkStart w:id="177" w:name="_Toc27078"/>
      <w:r>
        <w:rPr>
          <w:rFonts w:hint="eastAsia" w:ascii="仿宋" w:hAnsi="仿宋" w:eastAsia="仿宋" w:cs="仿宋"/>
          <w:b/>
          <w:bCs/>
          <w:color w:val="auto"/>
          <w:kern w:val="0"/>
          <w:sz w:val="28"/>
          <w:szCs w:val="28"/>
          <w:highlight w:val="none"/>
          <w:lang w:val="en-US" w:eastAsia="zh-CN" w:bidi="ar-SA"/>
        </w:rPr>
        <w:t>二、服务内容（实质性要求）</w:t>
      </w:r>
      <w:bookmarkEnd w:id="176"/>
      <w:bookmarkEnd w:id="177"/>
      <w:r>
        <w:rPr>
          <w:rFonts w:hint="eastAsia" w:ascii="仿宋" w:hAnsi="仿宋" w:eastAsia="仿宋" w:cs="仿宋"/>
          <w:b/>
          <w:bCs/>
          <w:color w:val="auto"/>
          <w:kern w:val="0"/>
          <w:sz w:val="28"/>
          <w:szCs w:val="28"/>
          <w:highlight w:val="none"/>
          <w:lang w:val="en-US" w:eastAsia="zh-CN" w:bidi="ar-SA"/>
        </w:rPr>
        <w:t>：</w:t>
      </w:r>
    </w:p>
    <w:p w14:paraId="1C11043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本项目为乐山苏稽新区工农路智慧停车场项目、乐山奥体中心部分功能提升项目开展结算评审服务。</w:t>
      </w:r>
    </w:p>
    <w:p w14:paraId="2921912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具体内容包括：</w:t>
      </w:r>
    </w:p>
    <w:p w14:paraId="6B4B03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1、检查资料的完整性、合规性。</w:t>
      </w:r>
    </w:p>
    <w:p w14:paraId="32FCF3D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2、负责组织或参加采购人组织的现场踏勘。</w:t>
      </w:r>
    </w:p>
    <w:p w14:paraId="7D1097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3、审核本项目结算评审相关的工作内容，包括该项目施工、监理、设计费、勘察费、第三方检测、水电气接入等结算评审。</w:t>
      </w:r>
    </w:p>
    <w:p w14:paraId="5286BF93">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4、全面审查的项目建设的真实性、合法性、合规性。</w:t>
      </w:r>
    </w:p>
    <w:p w14:paraId="0C22AAB7">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5、审核各参建主体是否存在弄虚作假、损失浪费等行为。</w:t>
      </w:r>
    </w:p>
    <w:p w14:paraId="7134645D">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6、全面审核项目建设情况与招标文件、采购合同要求是否一致。</w:t>
      </w:r>
    </w:p>
    <w:p w14:paraId="7BD58438">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7、对变更或新增内容进行全面评审。</w:t>
      </w:r>
    </w:p>
    <w:p w14:paraId="2A40C241">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8、分析项目价款审增审减原因和执行基本建设制度存在的问题。</w:t>
      </w:r>
    </w:p>
    <w:p w14:paraId="595863FD">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9、各方签认评审结论，出具结算评审报告并送达采购人。</w:t>
      </w:r>
    </w:p>
    <w:p w14:paraId="7A70EEC5">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default"/>
          <w:color w:val="auto"/>
          <w:highlight w:val="none"/>
          <w:lang w:val="en-US" w:eastAsia="zh-CN"/>
        </w:rPr>
      </w:pPr>
      <w:r>
        <w:rPr>
          <w:rFonts w:hint="eastAsia" w:ascii="仿宋" w:hAnsi="仿宋" w:eastAsia="仿宋" w:cs="仿宋"/>
          <w:b w:val="0"/>
          <w:bCs w:val="0"/>
          <w:color w:val="auto"/>
          <w:kern w:val="0"/>
          <w:sz w:val="28"/>
          <w:szCs w:val="28"/>
          <w:highlight w:val="none"/>
          <w:lang w:val="en-US" w:eastAsia="zh-CN" w:bidi="ar-SA"/>
        </w:rPr>
        <w:t>10、服务成果文件：《竣工结算评审报告》。</w:t>
      </w:r>
    </w:p>
    <w:p w14:paraId="54645E1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三、服务要求（实质性要求）：</w:t>
      </w:r>
    </w:p>
    <w:p w14:paraId="712FE4D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向采购人提交符合要求的评审报告和相应的取证记录、评审结算书的纸质文档、电子文档、计算式等证明材料和成果文件。对评审结果负责，因评审质量、违规操作等原因致使采购人遭受损失，应承担一切经济和法律责任。</w:t>
      </w:r>
    </w:p>
    <w:p w14:paraId="7946236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2、现场勘查，检查实际施工是否与图纸、招标文件及答疑、图集、施工规范的要求相符，对不符部分，按合同约定的方式调整。</w:t>
      </w:r>
    </w:p>
    <w:p w14:paraId="6DE3C5E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3、评审工程量、清单项目，对超报、虚报部分进行审减。</w:t>
      </w:r>
    </w:p>
    <w:p w14:paraId="78F1048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4、评审签证内容是否属实，签证价格是否合理，签证程序是否合规，签证支撑材料是否充分，签证手续是否完善、是否按照合同约定办理。</w:t>
      </w:r>
    </w:p>
    <w:p w14:paraId="6D1AC9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5、变更手续是否完善、是否按照合同约定办理，变更价格是否合理。</w:t>
      </w:r>
    </w:p>
    <w:p w14:paraId="65097A0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6、完成采购人提供的工程造价结算分析表的填制。</w:t>
      </w:r>
    </w:p>
    <w:p w14:paraId="5D61848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7、及时完成结算评审报告并送达采购人。</w:t>
      </w:r>
    </w:p>
    <w:p w14:paraId="5FA5BE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8、配合评审机构复核。</w:t>
      </w:r>
    </w:p>
    <w:p w14:paraId="58E33F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9、接受并服从采购人制定或修订的相关管理办法及考核办法，关于评审误差：</w:t>
      </w:r>
    </w:p>
    <w:p w14:paraId="186C1AB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9.1在日后巡察、复审、监督、检查等过程中，发现供应商履行义务过程中由于疏忽、失职、过错等故意或过失原因造成评审复核或复审结果差异率（即（初审审定额-复核审定额）/初审审定额*100%,下同）在3%以内的不扣除审核费用；3%&lt;误差&lt;10%,超过3%部分，每超过1%扣除5%的审核费用（不足1%按1%计）;误差&gt;10%的扣除单项全部评审服务费用。</w:t>
      </w:r>
    </w:p>
    <w:p w14:paraId="4546FF7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9.2若报告存在多计、漏计工程量，资料缺失仍然计算工程量等情况，造成多计、多付工程款无法直接收回的，供应商应赔偿因此造成的相关损失，该损失额度不以评审服务费为限。</w:t>
      </w:r>
    </w:p>
    <w:p w14:paraId="7F7BC02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9.3若供应商同与本项目有利益关联的第三方串通造成经济损失的，需承担相应责任及赔偿。</w:t>
      </w:r>
    </w:p>
    <w:p w14:paraId="1ED8595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10、服务成果文件：提供本项目《竣工结算评审报告》，一式肆份，电子档一份。</w:t>
      </w:r>
    </w:p>
    <w:p w14:paraId="6FA1E8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11、采购人或相关单位要求的其他文件资料。</w:t>
      </w:r>
    </w:p>
    <w:p w14:paraId="13EF824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四、技术要求（实质性要求）：</w:t>
      </w:r>
    </w:p>
    <w:p w14:paraId="70805F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1、在约定时间内完成评审任务，出具评审报告，不得将受托评审项目分包、转让、转包。</w:t>
      </w:r>
    </w:p>
    <w:p w14:paraId="6C2EE5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2、在接收到采购人移交的资料后，必须在规定时间内完成对资料完整性的确认，同时，要列明应补充完善的资料。</w:t>
      </w:r>
    </w:p>
    <w:p w14:paraId="3F52A37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3、严格执行回避制度，不得同时接受具有利益冲突的双方或多方委托服务；不得对外提供工程造价咨询服务过程中获知的采购人的商业秘密和业务资料。一经发现，终止服务合同。</w:t>
      </w:r>
    </w:p>
    <w:p w14:paraId="36680E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4、供应商根据《中华人民共和国审计法》、《中华人民共和国审计法实施条例》、《中华人民共和国国家审计准则》等相关法律法规的要求，独立、客观、公正的开展评审工作。</w:t>
      </w:r>
    </w:p>
    <w:p w14:paraId="46E63C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5、供应商需按照以下要求完成评审任务：</w:t>
      </w:r>
    </w:p>
    <w:p w14:paraId="3917012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5.1做到查证事实准确，服务内容合法、客观、公正、完整、准确，不发生重大遗漏事项，无重计错计。</w:t>
      </w:r>
    </w:p>
    <w:p w14:paraId="1B14CD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5.2在评审工作期间，不得私下单独与监理单位、施工单位交流。</w:t>
      </w:r>
    </w:p>
    <w:p w14:paraId="7E9858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6、出具有法律效应的《竣工结算评审报告》。在项目审核工作完成后一并退还送审原始资料和相关的证据资料、审核过程完整的电子、纸质工作底稿。</w:t>
      </w:r>
    </w:p>
    <w:p w14:paraId="5F0463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7、供应商应严守职业道德。对项目评审中发现的问题和发生争议等重大事项应及时向采购人反映，并接受采购人的管理和监督。对执业过程中知悉的行业秘密严加保密，不得向外界泄露。</w:t>
      </w:r>
    </w:p>
    <w:p w14:paraId="437DDDF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8、供应商除满足国家相关法规制度要求外，还包括实施项目整体分析、审核重点筛查、造价审减原因分析、落实问题责任等内容及拟制相应文书等工作；在服务期内，接受采购人组织的抽查复审。</w:t>
      </w:r>
    </w:p>
    <w:p w14:paraId="2537C985">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9、供应商严格执行国家审计法律、法规、规章，遵守行业执业准则、职业道德。</w:t>
      </w:r>
    </w:p>
    <w:p w14:paraId="057B3645">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10、供应商按照国家法律法规、工程定额、工程量清单计价规范、行业规范、招投标文件、合同协议、现场签证、结算书等依法开展工作，不受任何第三方影响，独立承担协议规定委托事项任务。</w:t>
      </w:r>
    </w:p>
    <w:p w14:paraId="2D58AD41">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11、供应商提供的全部服务除上述内容外，还须满足国家、行业有关标准及规范。</w:t>
      </w:r>
    </w:p>
    <w:p w14:paraId="00F5A7C2">
      <w:pPr>
        <w:pStyle w:val="3"/>
        <w:pageBreakBefore w:val="0"/>
        <w:numPr>
          <w:ilvl w:val="0"/>
          <w:numId w:val="0"/>
        </w:numPr>
        <w:kinsoku/>
        <w:wordWrap/>
        <w:overflowPunct/>
        <w:topLinePunct w:val="0"/>
        <w:autoSpaceDE/>
        <w:autoSpaceDN/>
        <w:bidi w:val="0"/>
        <w:adjustRightInd w:val="0"/>
        <w:snapToGrid w:val="0"/>
        <w:spacing w:before="0" w:after="0" w:line="360" w:lineRule="auto"/>
        <w:ind w:firstLine="56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注：以上标准、规定、规范性文件如有更新时，按最新标准执行。</w:t>
      </w:r>
    </w:p>
    <w:p w14:paraId="444F452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五、商务要求（实质性要求）：</w:t>
      </w:r>
    </w:p>
    <w:p w14:paraId="32E1E8DF">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1、服务期限：自合同签订之日起60日内完成本项目所有服务内容。</w:t>
      </w:r>
    </w:p>
    <w:p w14:paraId="6BBACE18">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2、结算与付款：</w:t>
      </w:r>
    </w:p>
    <w:p w14:paraId="1A65C30A">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2.1合同签订后，供应商完成本项目所有竣工结算审核工作并移交全部资料，双方办理合同价款结算。合同价款结算办理完成后，采购人在收到供应商提交合格的支付申请资料20个工作日内支付至本合同结算价款的80%；</w:t>
      </w:r>
    </w:p>
    <w:p w14:paraId="0FCC018D">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 xml:space="preserve">余款待办理完采购人本公司的相关评审或该工程竣工结算审核工作完成2年后28个工作日内支付。 </w:t>
      </w:r>
    </w:p>
    <w:p w14:paraId="2A1B1F30">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2.2采购人付款前，供应商须提交等额合规税务增值税专用发票，否则付款时间顺延。</w:t>
      </w:r>
    </w:p>
    <w:p w14:paraId="0F69A3D1">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报价要求：报价是供应商完成本项目所有服务内容的全部工作、服务内容的综合最终报价，供应商的报价应包括履约过程中的人工费、材料费、资料费、交通费（含相关杂费）、管理费、保险费、利润及税金及与供应商履约本项目所需要的其他所有费用和磋商文件规定的其它费用，采购人不再支付合同价款以外的费用。如出现在投标报价估算错误等引起的损失由供应商自行承担。</w:t>
      </w:r>
    </w:p>
    <w:p w14:paraId="56782F6F">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4、评审服务费组成：</w:t>
      </w:r>
    </w:p>
    <w:p w14:paraId="4DDA34B7">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4.1本项目包1费用由基本审核费和效益审核费组成（其中基本审核费用控制价为84750.00元，效益审核费用控制价为56500.00元）；包2费用由基本审核费和效益审核费组成（其中基本审核费用控制价为5410.00元，效益审核费用控制价为3606.00元）。</w:t>
      </w:r>
    </w:p>
    <w:p w14:paraId="2046230A">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4.2按要求完成本项目的结算审核，由采购人负担基本审核费用。</w:t>
      </w:r>
    </w:p>
    <w:p w14:paraId="2965E18F">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4.3审减率≤5%（含5%）由采购人负担效益审核费用，效益审核费按最终审减金额（最终审减金额=送审金额－审定金额）的2%计取，最高不超过投标价。</w:t>
      </w:r>
    </w:p>
    <w:p w14:paraId="3025EB4C">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4.4审减率＞5%时，效益审核费由采购人和施工总承包单位工程共同负担。其中审减率在5%以内的部分由采购人负担效益审核费用，效益审核费按最终审减金额（最终审减金额=送审金额－审定金额）的2%计取，最高不超过投标价；审减率在5%以上的部分由施工总承包单位承担效益审核费，该部分审减金额按4%计取作为效益审核费用。</w:t>
      </w:r>
    </w:p>
    <w:p w14:paraId="78C21805">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5、其他相关事宜：在本采购文件中没有提及的与本项目履约切实相关的事宜，在采购人与成交供应商订立合同时明细约定或后续补充约定（约定的内容须符合国家相关法律法规的规定）。</w:t>
      </w:r>
    </w:p>
    <w:p w14:paraId="604DB369">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6、质量要求：符合达到现行国家规范、行业标准,符合相关法律法规要求。</w:t>
      </w:r>
    </w:p>
    <w:p w14:paraId="038C4597">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 xml:space="preserve">7、安全责任、违约责任与解决争议的办法： </w:t>
      </w:r>
    </w:p>
    <w:p w14:paraId="518C950A">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Hans" w:bidi="ar-SA"/>
        </w:rPr>
      </w:pPr>
      <w:r>
        <w:rPr>
          <w:rFonts w:hint="eastAsia" w:ascii="仿宋" w:hAnsi="仿宋" w:eastAsia="仿宋" w:cs="仿宋"/>
          <w:b w:val="0"/>
          <w:bCs w:val="0"/>
          <w:color w:val="auto"/>
          <w:kern w:val="0"/>
          <w:sz w:val="28"/>
          <w:szCs w:val="28"/>
          <w:highlight w:val="none"/>
          <w:lang w:val="en-US" w:eastAsia="zh-CN" w:bidi="ar-SA"/>
        </w:rPr>
        <w:t>7.1采购人</w:t>
      </w:r>
      <w:r>
        <w:rPr>
          <w:rFonts w:hint="eastAsia" w:ascii="仿宋" w:hAnsi="仿宋" w:eastAsia="仿宋" w:cs="仿宋"/>
          <w:b w:val="0"/>
          <w:bCs w:val="0"/>
          <w:color w:val="auto"/>
          <w:kern w:val="0"/>
          <w:sz w:val="28"/>
          <w:szCs w:val="28"/>
          <w:highlight w:val="none"/>
          <w:lang w:val="en-US" w:eastAsia="zh-Hans" w:bidi="ar-SA"/>
        </w:rPr>
        <w:t>与</w:t>
      </w:r>
      <w:r>
        <w:rPr>
          <w:rFonts w:hint="eastAsia" w:ascii="仿宋" w:hAnsi="仿宋" w:eastAsia="仿宋" w:cs="仿宋"/>
          <w:b w:val="0"/>
          <w:bCs w:val="0"/>
          <w:color w:val="auto"/>
          <w:kern w:val="0"/>
          <w:sz w:val="28"/>
          <w:szCs w:val="28"/>
          <w:highlight w:val="none"/>
          <w:lang w:val="en-US" w:eastAsia="zh-CN" w:bidi="ar-SA"/>
        </w:rPr>
        <w:t>供应商</w:t>
      </w:r>
      <w:r>
        <w:rPr>
          <w:rFonts w:hint="eastAsia" w:ascii="仿宋" w:hAnsi="仿宋" w:eastAsia="仿宋" w:cs="仿宋"/>
          <w:b w:val="0"/>
          <w:bCs w:val="0"/>
          <w:color w:val="auto"/>
          <w:kern w:val="0"/>
          <w:sz w:val="28"/>
          <w:szCs w:val="28"/>
          <w:highlight w:val="none"/>
          <w:lang w:val="en-US" w:eastAsia="zh-Hans" w:bidi="ar-SA"/>
        </w:rPr>
        <w:t>双方必须遵守合同并执行合同中的各项规定，保证合同的正常履行。</w:t>
      </w:r>
    </w:p>
    <w:p w14:paraId="3231A4DA">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Hans" w:bidi="ar-SA"/>
        </w:rPr>
      </w:pPr>
      <w:r>
        <w:rPr>
          <w:rFonts w:hint="eastAsia" w:ascii="仿宋" w:hAnsi="仿宋" w:eastAsia="仿宋" w:cs="仿宋"/>
          <w:b w:val="0"/>
          <w:bCs w:val="0"/>
          <w:color w:val="auto"/>
          <w:kern w:val="0"/>
          <w:sz w:val="28"/>
          <w:szCs w:val="28"/>
          <w:highlight w:val="none"/>
          <w:lang w:val="en-US" w:eastAsia="zh-CN" w:bidi="ar-SA"/>
        </w:rPr>
        <w:t>7.2</w:t>
      </w:r>
      <w:r>
        <w:rPr>
          <w:rFonts w:hint="eastAsia" w:ascii="仿宋" w:hAnsi="仿宋" w:eastAsia="仿宋" w:cs="仿宋"/>
          <w:b w:val="0"/>
          <w:bCs w:val="0"/>
          <w:color w:val="auto"/>
          <w:kern w:val="0"/>
          <w:sz w:val="28"/>
          <w:szCs w:val="28"/>
          <w:highlight w:val="none"/>
          <w:lang w:val="en-US" w:eastAsia="zh-Hans" w:bidi="ar-SA"/>
        </w:rPr>
        <w:t>如因</w:t>
      </w:r>
      <w:r>
        <w:rPr>
          <w:rFonts w:hint="eastAsia" w:ascii="仿宋" w:hAnsi="仿宋" w:eastAsia="仿宋" w:cs="仿宋"/>
          <w:b w:val="0"/>
          <w:bCs w:val="0"/>
          <w:color w:val="auto"/>
          <w:kern w:val="0"/>
          <w:sz w:val="28"/>
          <w:szCs w:val="28"/>
          <w:highlight w:val="none"/>
          <w:lang w:val="en-US" w:eastAsia="zh-CN" w:bidi="ar-SA"/>
        </w:rPr>
        <w:t>供应商</w:t>
      </w:r>
      <w:r>
        <w:rPr>
          <w:rFonts w:hint="eastAsia" w:ascii="仿宋" w:hAnsi="仿宋" w:eastAsia="仿宋" w:cs="仿宋"/>
          <w:b w:val="0"/>
          <w:bCs w:val="0"/>
          <w:color w:val="auto"/>
          <w:kern w:val="0"/>
          <w:sz w:val="28"/>
          <w:szCs w:val="28"/>
          <w:highlight w:val="none"/>
          <w:lang w:val="en-US" w:eastAsia="zh-Hans" w:bidi="ar-SA"/>
        </w:rPr>
        <w:t>工作人员在履行职务过程中的的疏忽、失职、过错等故意或者过失原因给</w:t>
      </w:r>
      <w:r>
        <w:rPr>
          <w:rFonts w:hint="eastAsia" w:ascii="仿宋" w:hAnsi="仿宋" w:eastAsia="仿宋" w:cs="仿宋"/>
          <w:b w:val="0"/>
          <w:bCs w:val="0"/>
          <w:color w:val="auto"/>
          <w:kern w:val="0"/>
          <w:sz w:val="28"/>
          <w:szCs w:val="28"/>
          <w:highlight w:val="none"/>
          <w:lang w:val="en-US" w:eastAsia="zh-CN" w:bidi="ar-SA"/>
        </w:rPr>
        <w:t>采购人</w:t>
      </w:r>
      <w:r>
        <w:rPr>
          <w:rFonts w:hint="eastAsia" w:ascii="仿宋" w:hAnsi="仿宋" w:eastAsia="仿宋" w:cs="仿宋"/>
          <w:b w:val="0"/>
          <w:bCs w:val="0"/>
          <w:color w:val="auto"/>
          <w:kern w:val="0"/>
          <w:sz w:val="28"/>
          <w:szCs w:val="28"/>
          <w:highlight w:val="none"/>
          <w:lang w:val="en-US" w:eastAsia="zh-Hans" w:bidi="ar-SA"/>
        </w:rPr>
        <w:t>造成损失或侵害，包括但不限于</w:t>
      </w:r>
      <w:r>
        <w:rPr>
          <w:rFonts w:hint="eastAsia" w:ascii="仿宋" w:hAnsi="仿宋" w:eastAsia="仿宋" w:cs="仿宋"/>
          <w:b w:val="0"/>
          <w:bCs w:val="0"/>
          <w:color w:val="auto"/>
          <w:kern w:val="0"/>
          <w:sz w:val="28"/>
          <w:szCs w:val="28"/>
          <w:highlight w:val="none"/>
          <w:lang w:val="en-US" w:eastAsia="zh-CN" w:bidi="ar-SA"/>
        </w:rPr>
        <w:t>采购人</w:t>
      </w:r>
      <w:r>
        <w:rPr>
          <w:rFonts w:hint="eastAsia" w:ascii="仿宋" w:hAnsi="仿宋" w:eastAsia="仿宋" w:cs="仿宋"/>
          <w:b w:val="0"/>
          <w:bCs w:val="0"/>
          <w:color w:val="auto"/>
          <w:kern w:val="0"/>
          <w:sz w:val="28"/>
          <w:szCs w:val="28"/>
          <w:highlight w:val="none"/>
          <w:lang w:val="en-US" w:eastAsia="zh-Hans" w:bidi="ar-SA"/>
        </w:rPr>
        <w:t>本身的财产损失、由此而导致的</w:t>
      </w:r>
      <w:r>
        <w:rPr>
          <w:rFonts w:hint="eastAsia" w:ascii="仿宋" w:hAnsi="仿宋" w:eastAsia="仿宋" w:cs="仿宋"/>
          <w:b w:val="0"/>
          <w:bCs w:val="0"/>
          <w:color w:val="auto"/>
          <w:kern w:val="0"/>
          <w:sz w:val="28"/>
          <w:szCs w:val="28"/>
          <w:highlight w:val="none"/>
          <w:lang w:val="en-US" w:eastAsia="zh-CN" w:bidi="ar-SA"/>
        </w:rPr>
        <w:t>采购人</w:t>
      </w:r>
      <w:r>
        <w:rPr>
          <w:rFonts w:hint="eastAsia" w:ascii="仿宋" w:hAnsi="仿宋" w:eastAsia="仿宋" w:cs="仿宋"/>
          <w:b w:val="0"/>
          <w:bCs w:val="0"/>
          <w:color w:val="auto"/>
          <w:kern w:val="0"/>
          <w:sz w:val="28"/>
          <w:szCs w:val="28"/>
          <w:highlight w:val="none"/>
          <w:lang w:val="en-US" w:eastAsia="zh-Hans" w:bidi="ar-SA"/>
        </w:rPr>
        <w:t>对任何第三方的法律责任等，</w:t>
      </w:r>
      <w:r>
        <w:rPr>
          <w:rFonts w:hint="eastAsia" w:ascii="仿宋" w:hAnsi="仿宋" w:eastAsia="仿宋" w:cs="仿宋"/>
          <w:b w:val="0"/>
          <w:bCs w:val="0"/>
          <w:color w:val="auto"/>
          <w:kern w:val="0"/>
          <w:sz w:val="28"/>
          <w:szCs w:val="28"/>
          <w:highlight w:val="none"/>
          <w:lang w:val="en-US" w:eastAsia="zh-CN" w:bidi="ar-SA"/>
        </w:rPr>
        <w:t>供应商</w:t>
      </w:r>
      <w:r>
        <w:rPr>
          <w:rFonts w:hint="eastAsia" w:ascii="仿宋" w:hAnsi="仿宋" w:eastAsia="仿宋" w:cs="仿宋"/>
          <w:b w:val="0"/>
          <w:bCs w:val="0"/>
          <w:color w:val="auto"/>
          <w:kern w:val="0"/>
          <w:sz w:val="28"/>
          <w:szCs w:val="28"/>
          <w:highlight w:val="none"/>
          <w:lang w:val="en-US" w:eastAsia="zh-Hans" w:bidi="ar-SA"/>
        </w:rPr>
        <w:t xml:space="preserve">对此均应承担全部的赔偿责任。 </w:t>
      </w:r>
    </w:p>
    <w:p w14:paraId="53675BA2">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Hans" w:bidi="ar-SA"/>
        </w:rPr>
      </w:pPr>
      <w:r>
        <w:rPr>
          <w:rFonts w:hint="eastAsia" w:ascii="仿宋" w:hAnsi="仿宋" w:eastAsia="仿宋" w:cs="仿宋"/>
          <w:b w:val="0"/>
          <w:bCs w:val="0"/>
          <w:color w:val="auto"/>
          <w:kern w:val="0"/>
          <w:sz w:val="28"/>
          <w:szCs w:val="28"/>
          <w:highlight w:val="none"/>
          <w:lang w:val="en-US" w:eastAsia="zh-CN" w:bidi="ar-SA"/>
        </w:rPr>
        <w:t>7.3供应商</w:t>
      </w:r>
      <w:r>
        <w:rPr>
          <w:rFonts w:hint="eastAsia" w:ascii="仿宋" w:hAnsi="仿宋" w:eastAsia="仿宋" w:cs="仿宋"/>
          <w:b w:val="0"/>
          <w:bCs w:val="0"/>
          <w:color w:val="auto"/>
          <w:kern w:val="0"/>
          <w:sz w:val="28"/>
          <w:szCs w:val="28"/>
          <w:highlight w:val="none"/>
          <w:lang w:val="en-US" w:eastAsia="zh-Hans" w:bidi="ar-SA"/>
        </w:rPr>
        <w:t>所派人员在实地调研及履约过程中发生的人身、财产事故由</w:t>
      </w:r>
      <w:r>
        <w:rPr>
          <w:rFonts w:hint="eastAsia" w:ascii="仿宋" w:hAnsi="仿宋" w:eastAsia="仿宋" w:cs="仿宋"/>
          <w:b w:val="0"/>
          <w:bCs w:val="0"/>
          <w:color w:val="auto"/>
          <w:kern w:val="0"/>
          <w:sz w:val="28"/>
          <w:szCs w:val="28"/>
          <w:highlight w:val="none"/>
          <w:lang w:val="en-US" w:eastAsia="zh-CN" w:bidi="ar-SA"/>
        </w:rPr>
        <w:t>供应商</w:t>
      </w:r>
      <w:r>
        <w:rPr>
          <w:rFonts w:hint="eastAsia" w:ascii="仿宋" w:hAnsi="仿宋" w:eastAsia="仿宋" w:cs="仿宋"/>
          <w:b w:val="0"/>
          <w:bCs w:val="0"/>
          <w:color w:val="auto"/>
          <w:kern w:val="0"/>
          <w:sz w:val="28"/>
          <w:szCs w:val="28"/>
          <w:highlight w:val="none"/>
          <w:lang w:val="en-US" w:eastAsia="zh-Hans" w:bidi="ar-SA"/>
        </w:rPr>
        <w:t xml:space="preserve">自行负责。 </w:t>
      </w:r>
    </w:p>
    <w:p w14:paraId="69642CDB">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color w:val="auto"/>
          <w:sz w:val="28"/>
          <w:szCs w:val="28"/>
          <w:highlight w:val="none"/>
          <w:lang w:val="en-US" w:eastAsia="zh-Hans" w:bidi="ar-SA"/>
        </w:rPr>
      </w:pPr>
      <w:r>
        <w:rPr>
          <w:rFonts w:hint="eastAsia" w:ascii="仿宋" w:hAnsi="仿宋" w:eastAsia="仿宋" w:cs="仿宋"/>
          <w:b w:val="0"/>
          <w:bCs w:val="0"/>
          <w:color w:val="auto"/>
          <w:kern w:val="0"/>
          <w:sz w:val="28"/>
          <w:szCs w:val="28"/>
          <w:highlight w:val="none"/>
          <w:lang w:val="en-US" w:eastAsia="zh-CN" w:bidi="ar-SA"/>
        </w:rPr>
        <w:t>7.4解决争议的办法：在执行合同中发生的或与合同有关的争端，双方应通过友好协商解决，并可签订补充协议，协商不成的双方选择由采购人所在地人民法院诉讼管辖。</w:t>
      </w:r>
      <w:r>
        <w:rPr>
          <w:rFonts w:hint="eastAsia" w:ascii="仿宋" w:hAnsi="仿宋" w:eastAsia="仿宋" w:cs="仿宋"/>
          <w:b w:val="0"/>
          <w:bCs/>
          <w:color w:val="auto"/>
          <w:sz w:val="28"/>
          <w:szCs w:val="28"/>
          <w:highlight w:val="none"/>
          <w:lang w:val="en-US" w:eastAsia="zh-Hans" w:bidi="ar-SA"/>
        </w:rPr>
        <w:t xml:space="preserve"> </w:t>
      </w:r>
    </w:p>
    <w:p w14:paraId="6AAB55F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六、验收标准（实质性要求）：</w:t>
      </w:r>
    </w:p>
    <w:p w14:paraId="79461B29">
      <w:pPr>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zh-CN" w:eastAsia="zh-CN" w:bidi="ar-SA"/>
        </w:rPr>
        <w:t>成交供应商与采购人</w:t>
      </w:r>
      <w:r>
        <w:rPr>
          <w:rFonts w:hint="eastAsia" w:ascii="仿宋" w:hAnsi="仿宋" w:eastAsia="仿宋" w:cs="仿宋"/>
          <w:b w:val="0"/>
          <w:bCs w:val="0"/>
          <w:color w:val="auto"/>
          <w:kern w:val="0"/>
          <w:sz w:val="28"/>
          <w:szCs w:val="28"/>
          <w:highlight w:val="none"/>
          <w:lang w:val="en-US" w:eastAsia="zh-CN" w:bidi="ar-SA"/>
        </w:rPr>
        <w:t>按照</w:t>
      </w:r>
      <w:r>
        <w:rPr>
          <w:rFonts w:hint="eastAsia" w:ascii="仿宋" w:hAnsi="仿宋" w:eastAsia="仿宋" w:cs="仿宋"/>
          <w:b w:val="0"/>
          <w:bCs w:val="0"/>
          <w:color w:val="auto"/>
          <w:kern w:val="0"/>
          <w:sz w:val="28"/>
          <w:szCs w:val="28"/>
          <w:highlight w:val="none"/>
          <w:lang w:val="zh-CN" w:eastAsia="zh-CN" w:bidi="ar-SA"/>
        </w:rPr>
        <w:t>国家现行有关行业规定、技术规范和要求、磋商文件的质量要求和技术指标、成交供应商的响应文件及承诺与采购合同约定标准进行验收。</w:t>
      </w:r>
    </w:p>
    <w:p w14:paraId="5F9B8ABA">
      <w:pPr>
        <w:spacing w:before="260" w:after="260" w:line="360" w:lineRule="auto"/>
        <w:jc w:val="center"/>
        <w:outlineLvl w:val="0"/>
        <w:rPr>
          <w:rFonts w:ascii="仿宋" w:hAnsi="仿宋" w:eastAsia="仿宋" w:cs="仿宋"/>
          <w:b/>
          <w:color w:val="auto"/>
          <w:sz w:val="30"/>
          <w:szCs w:val="30"/>
          <w:highlight w:val="none"/>
        </w:rPr>
      </w:pPr>
      <w:r>
        <w:rPr>
          <w:rFonts w:hint="eastAsia" w:ascii="仿宋" w:hAnsi="仿宋" w:eastAsia="仿宋" w:cs="仿宋"/>
          <w:b/>
          <w:color w:val="auto"/>
          <w:sz w:val="36"/>
          <w:szCs w:val="36"/>
          <w:highlight w:val="none"/>
        </w:rPr>
        <w:br w:type="page"/>
      </w:r>
      <w:bookmarkStart w:id="178" w:name="_Toc2468"/>
      <w:bookmarkStart w:id="179" w:name="_Toc16600"/>
      <w:bookmarkStart w:id="180" w:name="_Toc22140"/>
      <w:r>
        <w:rPr>
          <w:rFonts w:hint="eastAsia" w:ascii="仿宋" w:hAnsi="仿宋" w:eastAsia="仿宋" w:cs="仿宋"/>
          <w:b/>
          <w:color w:val="auto"/>
          <w:sz w:val="36"/>
          <w:szCs w:val="36"/>
          <w:highlight w:val="none"/>
        </w:rPr>
        <w:t>第六章 采购项目实质性要求</w:t>
      </w:r>
      <w:bookmarkEnd w:id="165"/>
      <w:bookmarkEnd w:id="178"/>
      <w:bookmarkEnd w:id="179"/>
      <w:bookmarkEnd w:id="180"/>
    </w:p>
    <w:p w14:paraId="021830A7">
      <w:pPr>
        <w:spacing w:line="560" w:lineRule="exact"/>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详见第五章采购项目技术、服务要求、采购合同内容条款及其他商务要求中有明确说明或标注“实质性要求”的内容。</w:t>
      </w:r>
    </w:p>
    <w:p w14:paraId="2CB34388">
      <w:pPr>
        <w:spacing w:before="260" w:after="260" w:line="360" w:lineRule="auto"/>
        <w:jc w:val="center"/>
        <w:rPr>
          <w:rFonts w:ascii="仿宋" w:hAnsi="仿宋" w:eastAsia="仿宋" w:cs="仿宋"/>
          <w:b/>
          <w:color w:val="auto"/>
          <w:sz w:val="30"/>
          <w:szCs w:val="30"/>
          <w:highlight w:val="none"/>
        </w:rPr>
      </w:pPr>
    </w:p>
    <w:p w14:paraId="2A1AE594">
      <w:pPr>
        <w:spacing w:before="260" w:after="260" w:line="360" w:lineRule="auto"/>
        <w:jc w:val="center"/>
        <w:rPr>
          <w:rFonts w:ascii="仿宋" w:hAnsi="仿宋" w:eastAsia="仿宋" w:cs="仿宋"/>
          <w:b/>
          <w:color w:val="auto"/>
          <w:sz w:val="30"/>
          <w:szCs w:val="30"/>
          <w:highlight w:val="none"/>
        </w:rPr>
      </w:pPr>
    </w:p>
    <w:p w14:paraId="2B407C79">
      <w:pPr>
        <w:spacing w:before="260" w:after="260" w:line="360" w:lineRule="auto"/>
        <w:jc w:val="center"/>
        <w:rPr>
          <w:rFonts w:ascii="仿宋" w:hAnsi="仿宋" w:eastAsia="仿宋" w:cs="仿宋"/>
          <w:b/>
          <w:color w:val="auto"/>
          <w:sz w:val="30"/>
          <w:szCs w:val="30"/>
          <w:highlight w:val="none"/>
        </w:rPr>
      </w:pPr>
    </w:p>
    <w:p w14:paraId="23272A28">
      <w:pPr>
        <w:spacing w:before="260" w:after="260" w:line="360" w:lineRule="auto"/>
        <w:jc w:val="center"/>
        <w:rPr>
          <w:rFonts w:ascii="仿宋" w:hAnsi="仿宋" w:eastAsia="仿宋" w:cs="仿宋"/>
          <w:b/>
          <w:color w:val="auto"/>
          <w:sz w:val="30"/>
          <w:szCs w:val="30"/>
          <w:highlight w:val="none"/>
        </w:rPr>
      </w:pPr>
    </w:p>
    <w:p w14:paraId="58843A9B">
      <w:pPr>
        <w:spacing w:before="260" w:after="260" w:line="360" w:lineRule="auto"/>
        <w:jc w:val="center"/>
        <w:rPr>
          <w:rFonts w:ascii="仿宋" w:hAnsi="仿宋" w:eastAsia="仿宋" w:cs="仿宋"/>
          <w:b/>
          <w:color w:val="auto"/>
          <w:sz w:val="30"/>
          <w:szCs w:val="30"/>
          <w:highlight w:val="none"/>
        </w:rPr>
      </w:pPr>
    </w:p>
    <w:p w14:paraId="3F9EA661">
      <w:pPr>
        <w:spacing w:before="260" w:after="260" w:line="360" w:lineRule="auto"/>
        <w:jc w:val="center"/>
        <w:rPr>
          <w:rFonts w:ascii="仿宋" w:hAnsi="仿宋" w:eastAsia="仿宋" w:cs="仿宋"/>
          <w:b/>
          <w:color w:val="auto"/>
          <w:sz w:val="30"/>
          <w:szCs w:val="30"/>
          <w:highlight w:val="none"/>
        </w:rPr>
      </w:pPr>
    </w:p>
    <w:p w14:paraId="17184975">
      <w:pPr>
        <w:spacing w:before="260" w:after="260" w:line="360" w:lineRule="auto"/>
        <w:jc w:val="center"/>
        <w:rPr>
          <w:rFonts w:ascii="仿宋" w:hAnsi="仿宋" w:eastAsia="仿宋" w:cs="仿宋"/>
          <w:b/>
          <w:color w:val="auto"/>
          <w:sz w:val="30"/>
          <w:szCs w:val="30"/>
          <w:highlight w:val="none"/>
        </w:rPr>
      </w:pPr>
    </w:p>
    <w:p w14:paraId="06C600E2">
      <w:pPr>
        <w:spacing w:before="260" w:after="260" w:line="360" w:lineRule="auto"/>
        <w:jc w:val="center"/>
        <w:rPr>
          <w:rFonts w:ascii="仿宋" w:hAnsi="仿宋" w:eastAsia="仿宋" w:cs="仿宋"/>
          <w:b/>
          <w:color w:val="auto"/>
          <w:sz w:val="30"/>
          <w:szCs w:val="30"/>
          <w:highlight w:val="none"/>
        </w:rPr>
      </w:pPr>
    </w:p>
    <w:p w14:paraId="7B3FFEF4">
      <w:pPr>
        <w:spacing w:before="260" w:after="260" w:line="360" w:lineRule="auto"/>
        <w:jc w:val="center"/>
        <w:rPr>
          <w:rFonts w:ascii="仿宋" w:hAnsi="仿宋" w:eastAsia="仿宋" w:cs="仿宋"/>
          <w:b/>
          <w:color w:val="auto"/>
          <w:sz w:val="30"/>
          <w:szCs w:val="30"/>
          <w:highlight w:val="none"/>
        </w:rPr>
      </w:pPr>
    </w:p>
    <w:p w14:paraId="23B36D1D">
      <w:pPr>
        <w:spacing w:before="260" w:after="260" w:line="360" w:lineRule="auto"/>
        <w:jc w:val="center"/>
        <w:rPr>
          <w:rFonts w:ascii="仿宋" w:hAnsi="仿宋" w:eastAsia="仿宋" w:cs="仿宋"/>
          <w:b/>
          <w:color w:val="auto"/>
          <w:sz w:val="30"/>
          <w:szCs w:val="30"/>
          <w:highlight w:val="none"/>
        </w:rPr>
      </w:pPr>
    </w:p>
    <w:p w14:paraId="5A1D5F97">
      <w:pPr>
        <w:spacing w:before="260" w:after="260" w:line="360" w:lineRule="auto"/>
        <w:jc w:val="center"/>
        <w:rPr>
          <w:rFonts w:ascii="仿宋" w:hAnsi="仿宋" w:eastAsia="仿宋" w:cs="仿宋"/>
          <w:b/>
          <w:color w:val="auto"/>
          <w:sz w:val="30"/>
          <w:szCs w:val="30"/>
          <w:highlight w:val="none"/>
        </w:rPr>
      </w:pPr>
    </w:p>
    <w:p w14:paraId="102EB091">
      <w:pPr>
        <w:spacing w:before="260" w:after="260" w:line="360" w:lineRule="auto"/>
        <w:jc w:val="center"/>
        <w:rPr>
          <w:rFonts w:ascii="仿宋" w:hAnsi="仿宋" w:eastAsia="仿宋" w:cs="仿宋"/>
          <w:b/>
          <w:color w:val="auto"/>
          <w:sz w:val="30"/>
          <w:szCs w:val="30"/>
          <w:highlight w:val="none"/>
        </w:rPr>
      </w:pPr>
    </w:p>
    <w:p w14:paraId="235FA12D">
      <w:pPr>
        <w:spacing w:before="260" w:after="260" w:line="360" w:lineRule="auto"/>
        <w:jc w:val="center"/>
        <w:rPr>
          <w:rFonts w:ascii="仿宋" w:hAnsi="仿宋" w:eastAsia="仿宋" w:cs="仿宋"/>
          <w:b/>
          <w:color w:val="auto"/>
          <w:sz w:val="30"/>
          <w:szCs w:val="30"/>
          <w:highlight w:val="none"/>
        </w:rPr>
      </w:pPr>
    </w:p>
    <w:p w14:paraId="45099082">
      <w:pPr>
        <w:spacing w:before="260" w:after="260" w:line="360" w:lineRule="auto"/>
        <w:jc w:val="center"/>
        <w:rPr>
          <w:rFonts w:ascii="仿宋" w:hAnsi="仿宋" w:eastAsia="仿宋" w:cs="仿宋"/>
          <w:b/>
          <w:color w:val="auto"/>
          <w:sz w:val="30"/>
          <w:szCs w:val="30"/>
          <w:highlight w:val="none"/>
        </w:rPr>
      </w:pPr>
    </w:p>
    <w:p w14:paraId="1D8F6A99">
      <w:pPr>
        <w:spacing w:before="260" w:after="260" w:line="360" w:lineRule="auto"/>
        <w:jc w:val="center"/>
        <w:outlineLvl w:val="0"/>
        <w:rPr>
          <w:rFonts w:ascii="仿宋" w:hAnsi="仿宋" w:eastAsia="仿宋" w:cs="仿宋"/>
          <w:b/>
          <w:color w:val="auto"/>
          <w:sz w:val="36"/>
          <w:szCs w:val="36"/>
          <w:highlight w:val="none"/>
        </w:rPr>
      </w:pPr>
      <w:bookmarkStart w:id="181" w:name="_Toc64"/>
      <w:bookmarkStart w:id="182" w:name="_Toc17481"/>
      <w:bookmarkStart w:id="183" w:name="_Toc16655"/>
      <w:bookmarkStart w:id="184" w:name="_Toc21192"/>
      <w:r>
        <w:rPr>
          <w:rFonts w:hint="eastAsia" w:ascii="仿宋" w:hAnsi="仿宋" w:eastAsia="仿宋" w:cs="仿宋"/>
          <w:b/>
          <w:color w:val="auto"/>
          <w:sz w:val="36"/>
          <w:szCs w:val="36"/>
          <w:highlight w:val="none"/>
        </w:rPr>
        <w:t>第七章 磋商内容、磋商过程中可实质性变动的内容</w:t>
      </w:r>
      <w:bookmarkEnd w:id="181"/>
      <w:bookmarkEnd w:id="182"/>
      <w:bookmarkEnd w:id="183"/>
      <w:bookmarkEnd w:id="184"/>
    </w:p>
    <w:p w14:paraId="0298645E">
      <w:pPr>
        <w:widowControl/>
        <w:autoSpaceDE w:val="0"/>
        <w:autoSpaceDN w:val="0"/>
        <w:adjustRightInd w:val="0"/>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本项目在磋商过程中，评审委员会可以根据磋商文件和磋商情况实质性变动采购需求中的技术、服务要求以及合同草案条款的实质性内容，但不得变动磋商文件中的其他内容。实质性变动的内容，须经采购人确认。 </w:t>
      </w:r>
    </w:p>
    <w:p w14:paraId="1D8ECB87">
      <w:pPr>
        <w:widowControl/>
        <w:autoSpaceDE w:val="0"/>
        <w:autoSpaceDN w:val="0"/>
        <w:adjustRightInd w:val="0"/>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对磋商文件作出的实质性变动是磋商文件的有效组成部分，评审委员会应当及时以书面形式同时通知所有参加磋商的供应商。 </w:t>
      </w:r>
    </w:p>
    <w:p w14:paraId="39BB3149">
      <w:pPr>
        <w:widowControl/>
        <w:autoSpaceDE w:val="0"/>
        <w:autoSpaceDN w:val="0"/>
        <w:adjustRightInd w:val="0"/>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供应商应当按照磋商文件的变动情况和评审委员会的要求重新提交响应文件，并由其法定代表人或授权代表签字或者加盖公章。由授权代表签字的，应当附法定代表人授权书。供应商为自然人的，应当由本人签字并附身份证明。 </w:t>
      </w:r>
    </w:p>
    <w:p w14:paraId="12F23C2B">
      <w:pPr>
        <w:tabs>
          <w:tab w:val="left" w:pos="7665"/>
        </w:tabs>
        <w:spacing w:line="560" w:lineRule="exact"/>
        <w:ind w:firstLine="562"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注意：采购人不同意磋商文件在磋商过程中有任何变动的，可以不规定此章内容。</w:t>
      </w:r>
    </w:p>
    <w:p w14:paraId="30814E42">
      <w:pPr>
        <w:spacing w:line="560" w:lineRule="exact"/>
        <w:ind w:firstLine="600" w:firstLineChars="200"/>
        <w:jc w:val="left"/>
        <w:rPr>
          <w:rFonts w:ascii="仿宋" w:hAnsi="仿宋" w:eastAsia="仿宋" w:cs="仿宋"/>
          <w:bCs/>
          <w:color w:val="auto"/>
          <w:sz w:val="30"/>
          <w:szCs w:val="30"/>
          <w:highlight w:val="none"/>
        </w:rPr>
      </w:pPr>
    </w:p>
    <w:p w14:paraId="236B11A5">
      <w:pPr>
        <w:spacing w:before="260" w:after="260" w:line="360" w:lineRule="auto"/>
        <w:jc w:val="center"/>
        <w:outlineLvl w:val="0"/>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br w:type="page"/>
      </w:r>
      <w:bookmarkStart w:id="185" w:name="_Toc2198"/>
      <w:bookmarkStart w:id="186" w:name="_Toc19688"/>
      <w:bookmarkStart w:id="187" w:name="_Toc3249"/>
      <w:bookmarkStart w:id="188" w:name="_Toc23157"/>
      <w:r>
        <w:rPr>
          <w:rFonts w:hint="eastAsia" w:ascii="仿宋" w:hAnsi="仿宋" w:eastAsia="仿宋" w:cs="仿宋"/>
          <w:b/>
          <w:color w:val="auto"/>
          <w:sz w:val="36"/>
          <w:szCs w:val="36"/>
          <w:highlight w:val="none"/>
        </w:rPr>
        <w:t>第八章 响应文件格式</w:t>
      </w:r>
      <w:bookmarkEnd w:id="166"/>
      <w:bookmarkEnd w:id="185"/>
      <w:bookmarkEnd w:id="186"/>
      <w:bookmarkEnd w:id="187"/>
      <w:bookmarkEnd w:id="188"/>
    </w:p>
    <w:p w14:paraId="2032D9BC">
      <w:pPr>
        <w:spacing w:line="56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一、本章所制响应文件格式，除格式中明确将该格式作为实质性要求的，一律不具有强制性。</w:t>
      </w:r>
    </w:p>
    <w:p w14:paraId="56BB1B3E">
      <w:pPr>
        <w:spacing w:line="56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二、本章所制响应文件格式有关表格中的备注栏，由供应商根据自身响应情况作解释性说明，不作为必填项。</w:t>
      </w:r>
    </w:p>
    <w:p w14:paraId="1174A347">
      <w:pPr>
        <w:spacing w:line="560" w:lineRule="exact"/>
        <w:ind w:firstLine="560" w:firstLineChars="200"/>
        <w:jc w:val="left"/>
        <w:rPr>
          <w:rFonts w:ascii="仿宋" w:hAnsi="仿宋" w:eastAsia="仿宋" w:cs="仿宋"/>
          <w:b/>
          <w:color w:val="auto"/>
          <w:sz w:val="30"/>
          <w:szCs w:val="30"/>
          <w:highlight w:val="none"/>
        </w:rPr>
      </w:pPr>
      <w:r>
        <w:rPr>
          <w:rFonts w:hint="eastAsia" w:ascii="仿宋" w:hAnsi="仿宋" w:eastAsia="仿宋" w:cs="仿宋"/>
          <w:color w:val="auto"/>
          <w:sz w:val="28"/>
          <w:szCs w:val="28"/>
          <w:highlight w:val="none"/>
        </w:rPr>
        <w:t>三、本章所制响应文件格式中需要填写的相关内容事项，可能会与本采购项目无关，在不改变响应文件原义、不影响本项目采购需求的情况下，供应商可以不予填写，但应当注明。</w:t>
      </w:r>
    </w:p>
    <w:p w14:paraId="6DC3C038">
      <w:pPr>
        <w:jc w:val="center"/>
        <w:rPr>
          <w:rFonts w:ascii="仿宋" w:hAnsi="仿宋" w:eastAsia="仿宋" w:cs="仿宋"/>
          <w:b/>
          <w:color w:val="auto"/>
          <w:sz w:val="30"/>
          <w:szCs w:val="30"/>
          <w:highlight w:val="none"/>
        </w:rPr>
      </w:pPr>
    </w:p>
    <w:p w14:paraId="687D3E37">
      <w:pPr>
        <w:jc w:val="center"/>
        <w:rPr>
          <w:rFonts w:ascii="仿宋" w:hAnsi="仿宋" w:eastAsia="仿宋" w:cs="仿宋"/>
          <w:b/>
          <w:color w:val="auto"/>
          <w:sz w:val="30"/>
          <w:szCs w:val="30"/>
          <w:highlight w:val="none"/>
        </w:rPr>
      </w:pPr>
    </w:p>
    <w:p w14:paraId="2F706939">
      <w:pPr>
        <w:jc w:val="center"/>
        <w:rPr>
          <w:rFonts w:ascii="仿宋" w:hAnsi="仿宋" w:eastAsia="仿宋" w:cs="仿宋"/>
          <w:b/>
          <w:color w:val="auto"/>
          <w:sz w:val="30"/>
          <w:szCs w:val="30"/>
          <w:highlight w:val="none"/>
        </w:rPr>
      </w:pPr>
    </w:p>
    <w:p w14:paraId="244498A5">
      <w:pPr>
        <w:jc w:val="center"/>
        <w:rPr>
          <w:rFonts w:ascii="仿宋" w:hAnsi="仿宋" w:eastAsia="仿宋" w:cs="仿宋"/>
          <w:b/>
          <w:color w:val="auto"/>
          <w:sz w:val="30"/>
          <w:szCs w:val="30"/>
          <w:highlight w:val="none"/>
        </w:rPr>
      </w:pPr>
    </w:p>
    <w:p w14:paraId="0E279F46">
      <w:pPr>
        <w:jc w:val="center"/>
        <w:rPr>
          <w:rFonts w:ascii="仿宋" w:hAnsi="仿宋" w:eastAsia="仿宋" w:cs="仿宋"/>
          <w:b/>
          <w:color w:val="auto"/>
          <w:sz w:val="30"/>
          <w:szCs w:val="30"/>
          <w:highlight w:val="none"/>
        </w:rPr>
      </w:pPr>
    </w:p>
    <w:p w14:paraId="27885511">
      <w:pPr>
        <w:jc w:val="center"/>
        <w:rPr>
          <w:rFonts w:ascii="仿宋" w:hAnsi="仿宋" w:eastAsia="仿宋" w:cs="仿宋"/>
          <w:b/>
          <w:color w:val="auto"/>
          <w:sz w:val="30"/>
          <w:szCs w:val="30"/>
          <w:highlight w:val="none"/>
        </w:rPr>
      </w:pPr>
    </w:p>
    <w:p w14:paraId="7339958A">
      <w:pPr>
        <w:jc w:val="center"/>
        <w:rPr>
          <w:rFonts w:ascii="仿宋" w:hAnsi="仿宋" w:eastAsia="仿宋" w:cs="仿宋"/>
          <w:b/>
          <w:color w:val="auto"/>
          <w:sz w:val="30"/>
          <w:szCs w:val="30"/>
          <w:highlight w:val="none"/>
        </w:rPr>
      </w:pPr>
    </w:p>
    <w:p w14:paraId="1A83AE00">
      <w:pPr>
        <w:jc w:val="center"/>
        <w:rPr>
          <w:rFonts w:ascii="仿宋" w:hAnsi="仿宋" w:eastAsia="仿宋" w:cs="仿宋"/>
          <w:b/>
          <w:color w:val="auto"/>
          <w:sz w:val="30"/>
          <w:szCs w:val="30"/>
          <w:highlight w:val="none"/>
        </w:rPr>
      </w:pPr>
    </w:p>
    <w:p w14:paraId="41DD9D48">
      <w:pPr>
        <w:jc w:val="center"/>
        <w:rPr>
          <w:rFonts w:ascii="仿宋" w:hAnsi="仿宋" w:eastAsia="仿宋" w:cs="仿宋"/>
          <w:b/>
          <w:color w:val="auto"/>
          <w:sz w:val="30"/>
          <w:szCs w:val="30"/>
          <w:highlight w:val="none"/>
        </w:rPr>
      </w:pPr>
    </w:p>
    <w:p w14:paraId="7888FB5B">
      <w:pPr>
        <w:jc w:val="center"/>
        <w:rPr>
          <w:rFonts w:ascii="仿宋" w:hAnsi="仿宋" w:eastAsia="仿宋" w:cs="仿宋"/>
          <w:b/>
          <w:color w:val="auto"/>
          <w:sz w:val="30"/>
          <w:szCs w:val="30"/>
          <w:highlight w:val="none"/>
        </w:rPr>
      </w:pPr>
    </w:p>
    <w:p w14:paraId="70E897B9">
      <w:pPr>
        <w:jc w:val="center"/>
        <w:rPr>
          <w:rFonts w:ascii="仿宋" w:hAnsi="仿宋" w:eastAsia="仿宋" w:cs="仿宋"/>
          <w:b/>
          <w:color w:val="auto"/>
          <w:sz w:val="30"/>
          <w:szCs w:val="30"/>
          <w:highlight w:val="none"/>
        </w:rPr>
      </w:pPr>
    </w:p>
    <w:p w14:paraId="30D60EDA">
      <w:pPr>
        <w:spacing w:line="360" w:lineRule="auto"/>
        <w:rPr>
          <w:rFonts w:ascii="仿宋" w:hAnsi="仿宋" w:eastAsia="仿宋" w:cs="仿宋"/>
          <w:b/>
          <w:color w:val="auto"/>
          <w:sz w:val="30"/>
          <w:szCs w:val="30"/>
          <w:highlight w:val="none"/>
        </w:rPr>
      </w:pPr>
    </w:p>
    <w:p w14:paraId="0E2E9B72">
      <w:pPr>
        <w:spacing w:line="360" w:lineRule="auto"/>
        <w:rPr>
          <w:rFonts w:ascii="仿宋" w:hAnsi="仿宋" w:eastAsia="仿宋" w:cs="仿宋"/>
          <w:color w:val="auto"/>
          <w:sz w:val="30"/>
          <w:szCs w:val="30"/>
          <w:highlight w:val="none"/>
        </w:rPr>
      </w:pPr>
      <w:r>
        <w:rPr>
          <w:rFonts w:hint="eastAsia" w:ascii="仿宋" w:hAnsi="仿宋" w:eastAsia="仿宋" w:cs="仿宋"/>
          <w:b/>
          <w:color w:val="auto"/>
          <w:sz w:val="30"/>
          <w:szCs w:val="30"/>
          <w:highlight w:val="none"/>
        </w:rPr>
        <w:br w:type="page"/>
      </w:r>
    </w:p>
    <w:p w14:paraId="0CF3FD63">
      <w:pPr>
        <w:spacing w:line="360" w:lineRule="auto"/>
        <w:rPr>
          <w:rFonts w:ascii="仿宋" w:hAnsi="仿宋" w:eastAsia="仿宋" w:cs="仿宋"/>
          <w:b/>
          <w:color w:val="auto"/>
          <w:sz w:val="30"/>
          <w:szCs w:val="30"/>
          <w:highlight w:val="none"/>
        </w:rPr>
      </w:pPr>
    </w:p>
    <w:p w14:paraId="365D5C0C">
      <w:pPr>
        <w:pStyle w:val="11"/>
        <w:rPr>
          <w:rFonts w:ascii="仿宋" w:hAnsi="仿宋" w:eastAsia="仿宋" w:cs="仿宋"/>
          <w:color w:val="auto"/>
          <w:sz w:val="30"/>
          <w:szCs w:val="30"/>
          <w:highlight w:val="none"/>
        </w:rPr>
      </w:pPr>
    </w:p>
    <w:p w14:paraId="0903BE09">
      <w:pPr>
        <w:keepNext w:val="0"/>
        <w:keepLines w:val="0"/>
        <w:pageBreakBefore w:val="0"/>
        <w:widowControl w:val="0"/>
        <w:shd w:val="clear"/>
        <w:kinsoku/>
        <w:wordWrap/>
        <w:overflowPunct/>
        <w:topLinePunct w:val="0"/>
        <w:autoSpaceDE/>
        <w:autoSpaceDN/>
        <w:bidi w:val="0"/>
        <w:adjustRightInd/>
        <w:snapToGrid/>
        <w:spacing w:line="660" w:lineRule="exact"/>
        <w:jc w:val="center"/>
        <w:textAlignment w:val="auto"/>
        <w:rPr>
          <w:rFonts w:hint="eastAsia" w:ascii="仿宋" w:hAnsi="仿宋" w:eastAsia="仿宋" w:cs="仿宋"/>
          <w:b/>
          <w:color w:val="auto"/>
          <w:spacing w:val="34"/>
          <w:w w:val="95"/>
          <w:sz w:val="52"/>
          <w:szCs w:val="52"/>
          <w:highlight w:val="none"/>
          <w:lang w:val="en-US" w:eastAsia="zh-CN"/>
        </w:rPr>
      </w:pPr>
      <w:r>
        <w:rPr>
          <w:rFonts w:hint="eastAsia" w:ascii="仿宋" w:hAnsi="仿宋" w:eastAsia="仿宋" w:cs="仿宋"/>
          <w:b/>
          <w:color w:val="auto"/>
          <w:spacing w:val="34"/>
          <w:w w:val="95"/>
          <w:sz w:val="52"/>
          <w:szCs w:val="52"/>
          <w:highlight w:val="none"/>
          <w:lang w:val="en-US" w:eastAsia="zh-CN"/>
        </w:rPr>
        <w:t>乐山苏稽新区工农路智慧停车场项目</w:t>
      </w:r>
      <w:r>
        <w:rPr>
          <w:rFonts w:hint="eastAsia" w:ascii="仿宋" w:hAnsi="仿宋" w:eastAsia="仿宋" w:cs="仿宋"/>
          <w:b/>
          <w:color w:val="auto"/>
          <w:spacing w:val="34"/>
          <w:w w:val="95"/>
          <w:sz w:val="52"/>
          <w:szCs w:val="52"/>
          <w:highlight w:val="none"/>
          <w:u w:val="single"/>
          <w:lang w:val="en-US" w:eastAsia="zh-CN"/>
        </w:rPr>
        <w:t>（乐山奥体中心部分功能提升项目）</w:t>
      </w:r>
    </w:p>
    <w:p w14:paraId="12FBA0A3">
      <w:pPr>
        <w:keepNext w:val="0"/>
        <w:keepLines w:val="0"/>
        <w:pageBreakBefore w:val="0"/>
        <w:widowControl w:val="0"/>
        <w:shd w:val="clear"/>
        <w:kinsoku/>
        <w:wordWrap/>
        <w:overflowPunct/>
        <w:topLinePunct w:val="0"/>
        <w:autoSpaceDE/>
        <w:autoSpaceDN/>
        <w:bidi w:val="0"/>
        <w:adjustRightInd/>
        <w:snapToGrid/>
        <w:spacing w:line="660" w:lineRule="exact"/>
        <w:jc w:val="center"/>
        <w:textAlignment w:val="auto"/>
        <w:rPr>
          <w:rFonts w:hint="eastAsia" w:ascii="宋体" w:hAnsi="宋体" w:cs="仿宋"/>
          <w:b/>
          <w:color w:val="auto"/>
          <w:spacing w:val="-17"/>
          <w:sz w:val="48"/>
          <w:szCs w:val="48"/>
          <w:highlight w:val="none"/>
          <w:lang w:val="en-US" w:eastAsia="zh-CN"/>
        </w:rPr>
      </w:pPr>
      <w:r>
        <w:rPr>
          <w:rFonts w:hint="eastAsia" w:ascii="仿宋" w:hAnsi="仿宋" w:eastAsia="仿宋" w:cs="仿宋"/>
          <w:b/>
          <w:color w:val="auto"/>
          <w:spacing w:val="34"/>
          <w:w w:val="95"/>
          <w:sz w:val="52"/>
          <w:szCs w:val="52"/>
          <w:highlight w:val="none"/>
          <w:lang w:val="en-US" w:eastAsia="zh-CN"/>
        </w:rPr>
        <w:t>结算评审服务项目</w:t>
      </w:r>
    </w:p>
    <w:p w14:paraId="3F7EE84C">
      <w:pPr>
        <w:spacing w:line="240" w:lineRule="exact"/>
        <w:jc w:val="center"/>
        <w:rPr>
          <w:rFonts w:ascii="仿宋" w:hAnsi="仿宋" w:eastAsia="仿宋" w:cs="仿宋"/>
          <w:b/>
          <w:color w:val="auto"/>
          <w:sz w:val="30"/>
          <w:szCs w:val="30"/>
          <w:highlight w:val="none"/>
        </w:rPr>
      </w:pPr>
    </w:p>
    <w:p w14:paraId="7C826D10">
      <w:pPr>
        <w:pStyle w:val="11"/>
        <w:spacing w:line="240" w:lineRule="exact"/>
        <w:rPr>
          <w:rFonts w:ascii="仿宋" w:hAnsi="仿宋" w:eastAsia="仿宋" w:cs="仿宋"/>
          <w:b/>
          <w:color w:val="auto"/>
          <w:sz w:val="30"/>
          <w:szCs w:val="30"/>
          <w:highlight w:val="none"/>
        </w:rPr>
      </w:pPr>
    </w:p>
    <w:p w14:paraId="62781A7C">
      <w:pPr>
        <w:pStyle w:val="11"/>
        <w:spacing w:line="240" w:lineRule="exact"/>
        <w:rPr>
          <w:rFonts w:ascii="仿宋" w:hAnsi="仿宋" w:eastAsia="仿宋" w:cs="仿宋"/>
          <w:b/>
          <w:color w:val="auto"/>
          <w:sz w:val="30"/>
          <w:szCs w:val="30"/>
          <w:highlight w:val="none"/>
        </w:rPr>
      </w:pPr>
    </w:p>
    <w:p w14:paraId="1D6697F8">
      <w:pPr>
        <w:pStyle w:val="11"/>
        <w:spacing w:line="240" w:lineRule="exact"/>
        <w:rPr>
          <w:rFonts w:ascii="仿宋" w:hAnsi="仿宋" w:eastAsia="仿宋" w:cs="仿宋"/>
          <w:b/>
          <w:color w:val="auto"/>
          <w:sz w:val="30"/>
          <w:szCs w:val="30"/>
          <w:highlight w:val="none"/>
        </w:rPr>
      </w:pPr>
    </w:p>
    <w:p w14:paraId="3C71B779">
      <w:pPr>
        <w:pStyle w:val="11"/>
        <w:spacing w:line="240" w:lineRule="exact"/>
        <w:rPr>
          <w:rFonts w:ascii="仿宋" w:hAnsi="仿宋" w:eastAsia="仿宋" w:cs="仿宋"/>
          <w:b/>
          <w:color w:val="auto"/>
          <w:sz w:val="30"/>
          <w:szCs w:val="30"/>
          <w:highlight w:val="none"/>
        </w:rPr>
      </w:pPr>
    </w:p>
    <w:p w14:paraId="51A3D747">
      <w:pPr>
        <w:pStyle w:val="11"/>
        <w:spacing w:line="240" w:lineRule="exact"/>
        <w:rPr>
          <w:rFonts w:ascii="仿宋" w:hAnsi="仿宋" w:eastAsia="仿宋" w:cs="仿宋"/>
          <w:b/>
          <w:color w:val="auto"/>
          <w:sz w:val="30"/>
          <w:szCs w:val="30"/>
          <w:highlight w:val="none"/>
        </w:rPr>
      </w:pPr>
    </w:p>
    <w:p w14:paraId="187A9B31">
      <w:pPr>
        <w:pStyle w:val="11"/>
        <w:spacing w:line="240" w:lineRule="exact"/>
        <w:rPr>
          <w:rFonts w:ascii="仿宋" w:hAnsi="仿宋" w:eastAsia="仿宋" w:cs="仿宋"/>
          <w:b/>
          <w:color w:val="auto"/>
          <w:sz w:val="30"/>
          <w:szCs w:val="30"/>
          <w:highlight w:val="none"/>
        </w:rPr>
      </w:pPr>
    </w:p>
    <w:p w14:paraId="4CEBA862">
      <w:pPr>
        <w:pStyle w:val="11"/>
        <w:spacing w:line="240" w:lineRule="exact"/>
        <w:rPr>
          <w:rFonts w:ascii="仿宋" w:hAnsi="仿宋" w:eastAsia="仿宋" w:cs="仿宋"/>
          <w:b/>
          <w:color w:val="auto"/>
          <w:sz w:val="30"/>
          <w:szCs w:val="30"/>
          <w:highlight w:val="none"/>
        </w:rPr>
      </w:pPr>
    </w:p>
    <w:p w14:paraId="7B83940B">
      <w:pPr>
        <w:jc w:val="center"/>
        <w:outlineLvl w:val="1"/>
        <w:rPr>
          <w:rFonts w:ascii="仿宋" w:hAnsi="仿宋" w:eastAsia="仿宋" w:cs="仿宋"/>
          <w:b/>
          <w:color w:val="auto"/>
          <w:sz w:val="96"/>
          <w:szCs w:val="96"/>
          <w:highlight w:val="none"/>
        </w:rPr>
      </w:pPr>
      <w:r>
        <w:rPr>
          <w:rFonts w:hint="eastAsia" w:ascii="仿宋" w:hAnsi="仿宋" w:eastAsia="仿宋" w:cs="仿宋"/>
          <w:b/>
          <w:color w:val="auto"/>
          <w:sz w:val="96"/>
          <w:szCs w:val="96"/>
          <w:highlight w:val="none"/>
        </w:rPr>
        <w:t>响</w:t>
      </w:r>
      <w:r>
        <w:rPr>
          <w:rFonts w:hint="eastAsia" w:ascii="仿宋" w:hAnsi="仿宋" w:eastAsia="仿宋" w:cs="仿宋"/>
          <w:b/>
          <w:color w:val="auto"/>
          <w:sz w:val="96"/>
          <w:szCs w:val="96"/>
          <w:highlight w:val="none"/>
          <w:lang w:val="en-US" w:eastAsia="zh-CN"/>
        </w:rPr>
        <w:t xml:space="preserve"> </w:t>
      </w:r>
      <w:r>
        <w:rPr>
          <w:rFonts w:hint="eastAsia" w:ascii="仿宋" w:hAnsi="仿宋" w:eastAsia="仿宋" w:cs="仿宋"/>
          <w:b/>
          <w:color w:val="auto"/>
          <w:sz w:val="96"/>
          <w:szCs w:val="96"/>
          <w:highlight w:val="none"/>
        </w:rPr>
        <w:t>应</w:t>
      </w:r>
      <w:r>
        <w:rPr>
          <w:rFonts w:hint="eastAsia" w:ascii="仿宋" w:hAnsi="仿宋" w:eastAsia="仿宋" w:cs="仿宋"/>
          <w:b/>
          <w:color w:val="auto"/>
          <w:sz w:val="96"/>
          <w:szCs w:val="96"/>
          <w:highlight w:val="none"/>
          <w:lang w:val="en-US" w:eastAsia="zh-CN"/>
        </w:rPr>
        <w:t xml:space="preserve"> </w:t>
      </w:r>
      <w:r>
        <w:rPr>
          <w:rFonts w:hint="eastAsia" w:ascii="仿宋" w:hAnsi="仿宋" w:eastAsia="仿宋" w:cs="仿宋"/>
          <w:b/>
          <w:color w:val="auto"/>
          <w:sz w:val="96"/>
          <w:szCs w:val="96"/>
          <w:highlight w:val="none"/>
        </w:rPr>
        <w:t>文</w:t>
      </w:r>
      <w:r>
        <w:rPr>
          <w:rFonts w:hint="eastAsia" w:ascii="仿宋" w:hAnsi="仿宋" w:eastAsia="仿宋" w:cs="仿宋"/>
          <w:b/>
          <w:color w:val="auto"/>
          <w:sz w:val="96"/>
          <w:szCs w:val="96"/>
          <w:highlight w:val="none"/>
          <w:lang w:val="en-US" w:eastAsia="zh-CN"/>
        </w:rPr>
        <w:t xml:space="preserve"> </w:t>
      </w:r>
      <w:r>
        <w:rPr>
          <w:rFonts w:hint="eastAsia" w:ascii="仿宋" w:hAnsi="仿宋" w:eastAsia="仿宋" w:cs="仿宋"/>
          <w:b/>
          <w:color w:val="auto"/>
          <w:sz w:val="96"/>
          <w:szCs w:val="96"/>
          <w:highlight w:val="none"/>
        </w:rPr>
        <w:t>件</w:t>
      </w:r>
    </w:p>
    <w:p w14:paraId="4D2B436A">
      <w:pPr>
        <w:spacing w:line="660" w:lineRule="exact"/>
        <w:jc w:val="center"/>
        <w:rPr>
          <w:rFonts w:ascii="仿宋" w:hAnsi="仿宋" w:eastAsia="仿宋" w:cs="仿宋"/>
          <w:b/>
          <w:color w:val="auto"/>
          <w:sz w:val="30"/>
          <w:szCs w:val="30"/>
          <w:highlight w:val="none"/>
        </w:rPr>
      </w:pPr>
    </w:p>
    <w:p w14:paraId="2053AA06">
      <w:pPr>
        <w:pStyle w:val="11"/>
        <w:rPr>
          <w:rFonts w:ascii="仿宋" w:hAnsi="仿宋" w:eastAsia="仿宋" w:cs="仿宋"/>
          <w:color w:val="auto"/>
          <w:sz w:val="30"/>
          <w:szCs w:val="30"/>
          <w:highlight w:val="none"/>
        </w:rPr>
      </w:pPr>
    </w:p>
    <w:p w14:paraId="2DC6D0E8">
      <w:pPr>
        <w:spacing w:line="660" w:lineRule="exact"/>
        <w:jc w:val="center"/>
        <w:rPr>
          <w:rFonts w:ascii="仿宋" w:hAnsi="仿宋" w:eastAsia="仿宋" w:cs="仿宋"/>
          <w:b/>
          <w:color w:val="auto"/>
          <w:sz w:val="30"/>
          <w:szCs w:val="30"/>
          <w:highlight w:val="none"/>
        </w:rPr>
      </w:pPr>
    </w:p>
    <w:p w14:paraId="67A66034">
      <w:pPr>
        <w:spacing w:line="720" w:lineRule="exact"/>
        <w:ind w:firstLine="1145" w:firstLineChars="400"/>
        <w:rPr>
          <w:rFonts w:ascii="仿宋" w:hAnsi="仿宋" w:eastAsia="仿宋" w:cs="仿宋"/>
          <w:color w:val="auto"/>
          <w:sz w:val="30"/>
          <w:szCs w:val="30"/>
          <w:highlight w:val="none"/>
        </w:rPr>
      </w:pPr>
      <w:r>
        <w:rPr>
          <w:rFonts w:hint="eastAsia" w:ascii="仿宋" w:hAnsi="仿宋" w:eastAsia="仿宋" w:cs="仿宋"/>
          <w:b/>
          <w:bCs/>
          <w:color w:val="auto"/>
          <w:w w:val="95"/>
          <w:sz w:val="30"/>
          <w:szCs w:val="30"/>
          <w:highlight w:val="none"/>
        </w:rPr>
        <w:t>采 购 人</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u w:val="single"/>
        </w:rPr>
        <w:t xml:space="preserve">                                    </w:t>
      </w:r>
    </w:p>
    <w:p w14:paraId="4C5E2A36">
      <w:pPr>
        <w:spacing w:line="720" w:lineRule="exact"/>
        <w:ind w:firstLine="1145" w:firstLineChars="400"/>
        <w:rPr>
          <w:rFonts w:ascii="仿宋" w:hAnsi="仿宋" w:eastAsia="仿宋" w:cs="仿宋"/>
          <w:color w:val="auto"/>
          <w:sz w:val="30"/>
          <w:szCs w:val="30"/>
          <w:highlight w:val="none"/>
          <w:u w:val="single"/>
        </w:rPr>
      </w:pPr>
      <w:r>
        <w:rPr>
          <w:rFonts w:hint="eastAsia" w:ascii="仿宋" w:hAnsi="仿宋" w:eastAsia="仿宋" w:cs="仿宋"/>
          <w:b/>
          <w:bCs/>
          <w:color w:val="auto"/>
          <w:w w:val="95"/>
          <w:sz w:val="30"/>
          <w:szCs w:val="30"/>
          <w:highlight w:val="none"/>
        </w:rPr>
        <w:t>代理机构</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u w:val="single"/>
        </w:rPr>
        <w:t xml:space="preserve">                                    </w:t>
      </w:r>
    </w:p>
    <w:p w14:paraId="263116AC">
      <w:pPr>
        <w:spacing w:line="720" w:lineRule="exact"/>
        <w:ind w:firstLine="1085" w:firstLineChars="400"/>
        <w:rPr>
          <w:rFonts w:hint="default" w:ascii="仿宋" w:hAnsi="仿宋" w:eastAsia="仿宋" w:cs="仿宋"/>
          <w:color w:val="auto"/>
          <w:sz w:val="30"/>
          <w:szCs w:val="30"/>
          <w:highlight w:val="none"/>
          <w:lang w:val="en-US" w:eastAsia="zh-CN"/>
        </w:rPr>
      </w:pPr>
      <w:r>
        <w:rPr>
          <w:rFonts w:hint="eastAsia" w:ascii="仿宋" w:hAnsi="仿宋" w:eastAsia="仿宋" w:cs="仿宋"/>
          <w:b/>
          <w:bCs/>
          <w:color w:val="auto"/>
          <w:w w:val="90"/>
          <w:sz w:val="30"/>
          <w:szCs w:val="30"/>
          <w:highlight w:val="none"/>
        </w:rPr>
        <w:t>供应商名称</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p>
    <w:p w14:paraId="587F8E72">
      <w:pPr>
        <w:jc w:val="center"/>
        <w:rPr>
          <w:rFonts w:ascii="仿宋" w:hAnsi="仿宋" w:eastAsia="仿宋" w:cs="仿宋"/>
          <w:b/>
          <w:color w:val="auto"/>
          <w:sz w:val="30"/>
          <w:szCs w:val="30"/>
          <w:highlight w:val="none"/>
          <w:u w:val="single"/>
        </w:rPr>
      </w:pPr>
    </w:p>
    <w:p w14:paraId="76F6BCC6">
      <w:pPr>
        <w:jc w:val="center"/>
        <w:rPr>
          <w:rFonts w:ascii="仿宋" w:hAnsi="仿宋" w:eastAsia="仿宋" w:cs="仿宋"/>
          <w:color w:val="auto"/>
          <w:sz w:val="30"/>
          <w:szCs w:val="30"/>
          <w:highlight w:val="none"/>
        </w:rPr>
      </w:pP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793D10BD">
      <w:pPr>
        <w:spacing w:before="260" w:after="260" w:line="400" w:lineRule="exact"/>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6"/>
          <w:szCs w:val="36"/>
          <w:highlight w:val="none"/>
        </w:rPr>
        <w:t>目 录</w:t>
      </w:r>
    </w:p>
    <w:p w14:paraId="3749698F">
      <w:pPr>
        <w:spacing w:before="260" w:after="260" w:line="500" w:lineRule="exact"/>
        <w:jc w:val="center"/>
        <w:rPr>
          <w:rFonts w:ascii="仿宋" w:hAnsi="仿宋" w:eastAsia="仿宋" w:cs="仿宋"/>
          <w:b/>
          <w:color w:val="auto"/>
          <w:sz w:val="30"/>
          <w:szCs w:val="30"/>
          <w:highlight w:val="none"/>
        </w:rPr>
      </w:pPr>
    </w:p>
    <w:p w14:paraId="7D1AF689">
      <w:pPr>
        <w:spacing w:before="260" w:after="260" w:line="500" w:lineRule="exact"/>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请供应商自行编制</w:t>
      </w:r>
    </w:p>
    <w:p w14:paraId="1BB9B457">
      <w:pPr>
        <w:rPr>
          <w:rFonts w:ascii="仿宋" w:hAnsi="仿宋" w:eastAsia="仿宋" w:cs="仿宋"/>
          <w:b/>
          <w:color w:val="auto"/>
          <w:sz w:val="30"/>
          <w:szCs w:val="30"/>
          <w:highlight w:val="none"/>
        </w:rPr>
      </w:pPr>
    </w:p>
    <w:p w14:paraId="7E4A5869">
      <w:pPr>
        <w:ind w:firstLine="602" w:firstLineChars="200"/>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w:t>
      </w:r>
    </w:p>
    <w:p w14:paraId="1A105464">
      <w:pPr>
        <w:spacing w:before="260" w:after="260"/>
        <w:jc w:val="center"/>
        <w:rPr>
          <w:rFonts w:ascii="仿宋" w:hAnsi="仿宋" w:eastAsia="仿宋" w:cs="仿宋"/>
          <w:b/>
          <w:color w:val="auto"/>
          <w:sz w:val="30"/>
          <w:szCs w:val="30"/>
          <w:highlight w:val="none"/>
        </w:rPr>
      </w:pPr>
    </w:p>
    <w:p w14:paraId="41E8DE33">
      <w:pPr>
        <w:spacing w:before="260" w:after="260"/>
        <w:jc w:val="center"/>
        <w:outlineLvl w:val="9"/>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bookmarkStart w:id="189" w:name="_Toc31432"/>
    </w:p>
    <w:p w14:paraId="2E0CD0EA">
      <w:pPr>
        <w:pStyle w:val="3"/>
        <w:jc w:val="center"/>
        <w:rPr>
          <w:rFonts w:hint="eastAsia"/>
          <w:b w:val="0"/>
          <w:bCs w:val="0"/>
          <w:color w:val="auto"/>
          <w:highlight w:val="none"/>
          <w:u w:val="double"/>
        </w:rPr>
      </w:pPr>
      <w:r>
        <w:rPr>
          <w:rFonts w:hint="eastAsia"/>
          <w:b w:val="0"/>
          <w:bCs w:val="0"/>
          <w:color w:val="auto"/>
          <w:highlight w:val="none"/>
          <w:u w:val="double"/>
          <w:lang w:val="en-US" w:eastAsia="zh-CN"/>
        </w:rPr>
        <w:t>资格</w:t>
      </w:r>
      <w:r>
        <w:rPr>
          <w:rFonts w:hint="eastAsia"/>
          <w:b w:val="0"/>
          <w:bCs w:val="0"/>
          <w:color w:val="auto"/>
          <w:highlight w:val="none"/>
          <w:u w:val="double"/>
        </w:rPr>
        <w:t>响应文件部分</w:t>
      </w:r>
    </w:p>
    <w:p w14:paraId="7667A9C3">
      <w:pPr>
        <w:spacing w:before="260" w:after="260"/>
        <w:jc w:val="center"/>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一、磋商</w:t>
      </w:r>
      <w:r>
        <w:rPr>
          <w:rFonts w:hint="eastAsia" w:ascii="仿宋" w:hAnsi="仿宋" w:eastAsia="仿宋" w:cs="仿宋"/>
          <w:b/>
          <w:color w:val="auto"/>
          <w:sz w:val="30"/>
          <w:szCs w:val="30"/>
          <w:highlight w:val="none"/>
          <w:lang w:val="en-US" w:eastAsia="zh-CN"/>
        </w:rPr>
        <w:t>响应</w:t>
      </w:r>
      <w:r>
        <w:rPr>
          <w:rFonts w:hint="eastAsia" w:ascii="仿宋" w:hAnsi="仿宋" w:eastAsia="仿宋" w:cs="仿宋"/>
          <w:b/>
          <w:color w:val="auto"/>
          <w:sz w:val="30"/>
          <w:szCs w:val="30"/>
          <w:highlight w:val="none"/>
        </w:rPr>
        <w:t>函</w:t>
      </w:r>
      <w:bookmarkEnd w:id="189"/>
    </w:p>
    <w:p w14:paraId="517C134B">
      <w:pPr>
        <w:widowControl/>
        <w:spacing w:after="156" w:afterLines="50" w:line="560" w:lineRule="exact"/>
        <w:ind w:firstLine="281" w:firstLineChars="100"/>
        <w:jc w:val="left"/>
        <w:rPr>
          <w:rFonts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489C7D2F">
      <w:pPr>
        <w:spacing w:line="560" w:lineRule="exact"/>
        <w:ind w:firstLine="560" w:firstLineChars="200"/>
        <w:jc w:val="left"/>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bidi="ar"/>
        </w:rPr>
        <w:t>我方全面研究了</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lang w:bidi="ar"/>
        </w:rPr>
        <w:t>（项目名称）项目磋商文件（项目编号：</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lang w:bidi="ar"/>
        </w:rPr>
        <w:t>）决定参加贵</w:t>
      </w:r>
      <w:r>
        <w:rPr>
          <w:rFonts w:hint="default" w:ascii="Times New Roman" w:hAnsi="Times New Roman" w:eastAsia="仿宋" w:cs="Times New Roman"/>
          <w:color w:val="auto"/>
          <w:sz w:val="28"/>
          <w:szCs w:val="28"/>
          <w:highlight w:val="none"/>
          <w:lang w:val="en-US" w:eastAsia="zh-CN" w:bidi="ar"/>
        </w:rPr>
        <w:t>公司</w:t>
      </w:r>
      <w:r>
        <w:rPr>
          <w:rFonts w:hint="default" w:ascii="Times New Roman" w:hAnsi="Times New Roman" w:eastAsia="仿宋" w:cs="Times New Roman"/>
          <w:color w:val="auto"/>
          <w:sz w:val="28"/>
          <w:szCs w:val="28"/>
          <w:highlight w:val="none"/>
          <w:lang w:bidi="ar"/>
        </w:rPr>
        <w:t>组织的本项目磋商活动。我方授权</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lang w:bidi="ar"/>
        </w:rPr>
        <w:t>（姓名、职务）代表我方</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lang w:bidi="ar"/>
        </w:rPr>
        <w:t>（供应商名称）全权处理本项目响应的有关事宜。</w:t>
      </w:r>
    </w:p>
    <w:p w14:paraId="7E6FFD0D">
      <w:pPr>
        <w:widowControl/>
        <w:spacing w:line="560" w:lineRule="exact"/>
        <w:ind w:firstLine="560" w:firstLineChars="200"/>
        <w:jc w:val="left"/>
        <w:rPr>
          <w:rFonts w:hint="default" w:ascii="Times New Roman" w:hAnsi="Times New Roman" w:eastAsia="仿宋" w:cs="Times New Roman"/>
          <w:color w:val="auto"/>
          <w:sz w:val="28"/>
          <w:szCs w:val="28"/>
          <w:highlight w:val="none"/>
          <w:lang w:bidi="ar"/>
        </w:rPr>
      </w:pPr>
      <w:r>
        <w:rPr>
          <w:rFonts w:hint="default" w:ascii="Times New Roman" w:hAnsi="Times New Roman" w:eastAsia="仿宋" w:cs="Times New Roman"/>
          <w:color w:val="auto"/>
          <w:sz w:val="28"/>
          <w:szCs w:val="28"/>
          <w:highlight w:val="none"/>
          <w:lang w:bidi="ar"/>
        </w:rPr>
        <w:t>1、我方的报价均是我方自愿按照磋商文件规定的各项要求完成该项目所需内容的全部价款。</w:t>
      </w:r>
    </w:p>
    <w:p w14:paraId="60BCA33F">
      <w:pPr>
        <w:widowControl/>
        <w:spacing w:line="560" w:lineRule="exact"/>
        <w:ind w:firstLine="560" w:firstLineChars="200"/>
        <w:jc w:val="left"/>
        <w:rPr>
          <w:rFonts w:hint="default" w:ascii="Times New Roman" w:hAnsi="Times New Roman" w:eastAsia="仿宋" w:cs="Times New Roman"/>
          <w:color w:val="auto"/>
          <w:sz w:val="28"/>
          <w:szCs w:val="28"/>
          <w:highlight w:val="none"/>
          <w:lang w:bidi="ar"/>
        </w:rPr>
      </w:pPr>
      <w:r>
        <w:rPr>
          <w:rFonts w:hint="default" w:ascii="Times New Roman" w:hAnsi="Times New Roman" w:eastAsia="仿宋" w:cs="Times New Roman"/>
          <w:color w:val="auto"/>
          <w:sz w:val="28"/>
          <w:szCs w:val="28"/>
          <w:highlight w:val="none"/>
          <w:lang w:bidi="ar"/>
        </w:rPr>
        <w:t>2、一旦我方成交，我方将严格履行合同规定的责任和义务，保证按合同约定的时限完成项目，并交付采购人验收、使用。</w:t>
      </w:r>
    </w:p>
    <w:p w14:paraId="7E192E05">
      <w:pPr>
        <w:widowControl/>
        <w:spacing w:line="560" w:lineRule="exact"/>
        <w:ind w:firstLine="560" w:firstLineChars="200"/>
        <w:jc w:val="left"/>
        <w:rPr>
          <w:rFonts w:hint="eastAsia" w:ascii="Times New Roman" w:hAnsi="Times New Roman" w:eastAsia="仿宋" w:cs="Times New Roman"/>
          <w:color w:val="auto"/>
          <w:kern w:val="0"/>
          <w:sz w:val="28"/>
          <w:szCs w:val="28"/>
          <w:highlight w:val="none"/>
          <w:lang w:eastAsia="zh-CN"/>
        </w:rPr>
      </w:pPr>
      <w:r>
        <w:rPr>
          <w:rFonts w:hint="default" w:ascii="Times New Roman" w:hAnsi="Times New Roman" w:eastAsia="仿宋" w:cs="Times New Roman"/>
          <w:color w:val="auto"/>
          <w:kern w:val="0"/>
          <w:sz w:val="28"/>
          <w:szCs w:val="28"/>
          <w:highlight w:val="none"/>
        </w:rPr>
        <w:t>3、</w:t>
      </w:r>
      <w:r>
        <w:rPr>
          <w:rFonts w:hint="eastAsia" w:ascii="仿宋" w:hAnsi="仿宋" w:eastAsia="仿宋"/>
          <w:color w:val="auto"/>
          <w:sz w:val="28"/>
          <w:szCs w:val="28"/>
          <w:highlight w:val="none"/>
        </w:rPr>
        <w:t>我方同意本次</w:t>
      </w:r>
      <w:r>
        <w:rPr>
          <w:rFonts w:hint="eastAsia" w:ascii="仿宋" w:hAnsi="仿宋" w:eastAsia="仿宋"/>
          <w:color w:val="auto"/>
          <w:sz w:val="28"/>
          <w:szCs w:val="28"/>
          <w:highlight w:val="none"/>
          <w:lang w:val="en-US" w:eastAsia="zh-CN"/>
        </w:rPr>
        <w:t>采购</w:t>
      </w:r>
      <w:r>
        <w:rPr>
          <w:rFonts w:hint="eastAsia" w:ascii="仿宋" w:hAnsi="仿宋" w:eastAsia="仿宋"/>
          <w:color w:val="auto"/>
          <w:sz w:val="28"/>
          <w:szCs w:val="28"/>
          <w:highlight w:val="none"/>
        </w:rPr>
        <w:t>的磋商有效期为</w:t>
      </w:r>
      <w:r>
        <w:rPr>
          <w:rFonts w:hint="eastAsia" w:ascii="Times New Roman" w:hAnsi="Times New Roman" w:eastAsia="仿宋" w:cs="Times New Roman"/>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rPr>
        <w:t>XX</w:t>
      </w:r>
      <w:r>
        <w:rPr>
          <w:rFonts w:hint="eastAsia" w:ascii="Times New Roman" w:hAnsi="Times New Roman" w:eastAsia="仿宋" w:cs="Times New Roman"/>
          <w:color w:val="auto"/>
          <w:sz w:val="28"/>
          <w:szCs w:val="28"/>
          <w:highlight w:val="none"/>
          <w:u w:val="single"/>
        </w:rPr>
        <w:t xml:space="preserve">  </w:t>
      </w:r>
      <w:r>
        <w:rPr>
          <w:rFonts w:hint="eastAsia" w:ascii="仿宋" w:hAnsi="仿宋" w:eastAsia="仿宋"/>
          <w:color w:val="auto"/>
          <w:sz w:val="28"/>
          <w:szCs w:val="28"/>
          <w:highlight w:val="none"/>
        </w:rPr>
        <w:t>天</w:t>
      </w:r>
      <w:r>
        <w:rPr>
          <w:rFonts w:hint="eastAsia" w:ascii="仿宋" w:hAnsi="仿宋" w:eastAsia="仿宋"/>
          <w:color w:val="auto"/>
          <w:sz w:val="28"/>
          <w:szCs w:val="28"/>
          <w:highlight w:val="none"/>
          <w:lang w:eastAsia="zh-CN"/>
        </w:rPr>
        <w:t>。</w:t>
      </w:r>
    </w:p>
    <w:p w14:paraId="0D3A9912">
      <w:pPr>
        <w:widowControl/>
        <w:spacing w:line="560" w:lineRule="exact"/>
        <w:ind w:firstLine="560" w:firstLineChars="200"/>
        <w:jc w:val="left"/>
        <w:rPr>
          <w:rFonts w:hint="default" w:ascii="Times New Roman" w:hAnsi="Times New Roman" w:eastAsia="仿宋" w:cs="Times New Roman"/>
          <w:color w:val="auto"/>
          <w:sz w:val="28"/>
          <w:szCs w:val="28"/>
          <w:highlight w:val="none"/>
          <w:lang w:bidi="ar"/>
        </w:rPr>
      </w:pPr>
      <w:r>
        <w:rPr>
          <w:rFonts w:hint="eastAsia" w:ascii="Times New Roman" w:hAnsi="Times New Roman" w:eastAsia="仿宋" w:cs="Times New Roman"/>
          <w:color w:val="auto"/>
          <w:sz w:val="28"/>
          <w:szCs w:val="28"/>
          <w:highlight w:val="none"/>
          <w:lang w:val="en-US" w:eastAsia="zh-CN" w:bidi="ar"/>
        </w:rPr>
        <w:t>4</w:t>
      </w:r>
      <w:r>
        <w:rPr>
          <w:rFonts w:hint="default" w:ascii="Times New Roman" w:hAnsi="Times New Roman" w:eastAsia="仿宋" w:cs="Times New Roman"/>
          <w:color w:val="auto"/>
          <w:sz w:val="28"/>
          <w:szCs w:val="28"/>
          <w:highlight w:val="none"/>
          <w:lang w:bidi="ar"/>
        </w:rPr>
        <w:t>、我方愿意提供贵公司可能另外要求的，与磋商有关的文件资料，并保证我方已提供和将要提供的文件资料是真实、准确的。</w:t>
      </w:r>
    </w:p>
    <w:p w14:paraId="041ACC7D">
      <w:pPr>
        <w:widowControl/>
        <w:spacing w:line="560" w:lineRule="exact"/>
        <w:ind w:firstLine="560" w:firstLineChars="200"/>
        <w:jc w:val="left"/>
        <w:rPr>
          <w:rFonts w:hint="default" w:ascii="Times New Roman" w:hAnsi="Times New Roman" w:eastAsia="仿宋" w:cs="Times New Roman"/>
          <w:color w:val="auto"/>
          <w:sz w:val="28"/>
          <w:szCs w:val="28"/>
          <w:highlight w:val="none"/>
          <w:lang w:bidi="ar"/>
        </w:rPr>
      </w:pPr>
      <w:bookmarkStart w:id="190" w:name="_Toc24858"/>
      <w:bookmarkEnd w:id="190"/>
      <w:bookmarkStart w:id="191" w:name="_Toc28573"/>
      <w:bookmarkEnd w:id="191"/>
      <w:bookmarkStart w:id="192" w:name="_Toc32047"/>
      <w:r>
        <w:rPr>
          <w:rFonts w:hint="eastAsia" w:ascii="Times New Roman" w:hAnsi="Times New Roman" w:eastAsia="仿宋" w:cs="Times New Roman"/>
          <w:color w:val="auto"/>
          <w:sz w:val="28"/>
          <w:szCs w:val="28"/>
          <w:highlight w:val="none"/>
          <w:lang w:val="en-US" w:eastAsia="zh-CN" w:bidi="ar"/>
        </w:rPr>
        <w:t>5</w:t>
      </w:r>
      <w:r>
        <w:rPr>
          <w:rFonts w:hint="default" w:ascii="Times New Roman" w:hAnsi="Times New Roman" w:eastAsia="仿宋" w:cs="Times New Roman"/>
          <w:color w:val="auto"/>
          <w:sz w:val="28"/>
          <w:szCs w:val="28"/>
          <w:highlight w:val="none"/>
          <w:lang w:bidi="ar"/>
        </w:rPr>
        <w:t>、与本采购有关的一切正式通讯方式：</w:t>
      </w:r>
      <w:bookmarkEnd w:id="192"/>
    </w:p>
    <w:p w14:paraId="20DD4E27">
      <w:pPr>
        <w:spacing w:line="560" w:lineRule="exact"/>
        <w:ind w:firstLine="560" w:firstLineChars="200"/>
        <w:rPr>
          <w:rFonts w:hint="default" w:ascii="Times New Roman" w:hAnsi="Times New Roman" w:eastAsia="仿宋" w:cs="Times New Roman"/>
          <w:color w:val="auto"/>
          <w:sz w:val="28"/>
          <w:szCs w:val="28"/>
          <w:highlight w:val="none"/>
          <w:u w:val="single"/>
        </w:rPr>
      </w:pPr>
      <w:r>
        <w:rPr>
          <w:rFonts w:hint="default" w:ascii="Times New Roman" w:hAnsi="Times New Roman" w:eastAsia="仿宋" w:cs="Times New Roman"/>
          <w:color w:val="auto"/>
          <w:sz w:val="28"/>
          <w:szCs w:val="28"/>
          <w:highlight w:val="none"/>
          <w:lang w:bidi="ar"/>
        </w:rPr>
        <w:t>地址：</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lang w:bidi="ar"/>
        </w:rPr>
        <w:t xml:space="preserve"> 邮编：</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lang w:bidi="ar"/>
        </w:rPr>
        <w:t xml:space="preserve">  </w:t>
      </w:r>
    </w:p>
    <w:p w14:paraId="64004C7A">
      <w:pPr>
        <w:spacing w:line="560" w:lineRule="exact"/>
        <w:ind w:firstLine="560" w:firstLineChars="200"/>
        <w:rPr>
          <w:rFonts w:ascii="仿宋" w:hAnsi="仿宋" w:eastAsia="仿宋" w:cs="仿宋"/>
          <w:color w:val="auto"/>
          <w:sz w:val="28"/>
          <w:szCs w:val="28"/>
          <w:highlight w:val="none"/>
          <w:lang w:bidi="ar"/>
        </w:rPr>
      </w:pPr>
      <w:r>
        <w:rPr>
          <w:rFonts w:hint="default" w:ascii="Times New Roman" w:hAnsi="Times New Roman" w:eastAsia="仿宋" w:cs="Times New Roman"/>
          <w:color w:val="auto"/>
          <w:sz w:val="28"/>
          <w:szCs w:val="28"/>
          <w:highlight w:val="none"/>
          <w:lang w:bidi="ar"/>
        </w:rPr>
        <w:t>电话：</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lang w:bidi="ar"/>
        </w:rPr>
        <w:t xml:space="preserve"> 传真：</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lang w:bidi="ar"/>
        </w:rPr>
        <w:t xml:space="preserve"> </w:t>
      </w:r>
      <w:bookmarkStart w:id="193" w:name="_Toc26047"/>
      <w:bookmarkEnd w:id="193"/>
      <w:bookmarkStart w:id="194" w:name="_Toc6463"/>
      <w:bookmarkEnd w:id="194"/>
      <w:bookmarkStart w:id="195" w:name="_Toc439699511"/>
      <w:bookmarkEnd w:id="195"/>
    </w:p>
    <w:p w14:paraId="50A36409">
      <w:pPr>
        <w:keepNext w:val="0"/>
        <w:keepLines w:val="0"/>
        <w:pageBreakBefore w:val="0"/>
        <w:widowControl w:val="0"/>
        <w:shd w:val="clear"/>
        <w:kinsoku/>
        <w:wordWrap/>
        <w:overflowPunct/>
        <w:topLinePunct w:val="0"/>
        <w:autoSpaceDE/>
        <w:autoSpaceDN/>
        <w:bidi w:val="0"/>
        <w:adjustRightInd/>
        <w:snapToGrid/>
        <w:spacing w:before="260" w:after="260" w:line="560" w:lineRule="exact"/>
        <w:jc w:val="center"/>
        <w:textAlignment w:val="auto"/>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rPr>
        <w:t>二、法定代表人授权书</w:t>
      </w:r>
      <w:r>
        <w:rPr>
          <w:rFonts w:hint="eastAsia" w:ascii="仿宋" w:hAnsi="仿宋" w:eastAsia="仿宋" w:cs="仿宋"/>
          <w:b/>
          <w:color w:val="auto"/>
          <w:sz w:val="30"/>
          <w:szCs w:val="30"/>
          <w:highlight w:val="none"/>
          <w:lang w:eastAsia="zh-CN"/>
        </w:rPr>
        <w:t>（</w:t>
      </w:r>
      <w:r>
        <w:rPr>
          <w:rFonts w:hint="eastAsia" w:ascii="仿宋" w:hAnsi="仿宋" w:eastAsia="仿宋" w:cs="仿宋"/>
          <w:b/>
          <w:color w:val="auto"/>
          <w:sz w:val="30"/>
          <w:szCs w:val="30"/>
          <w:highlight w:val="none"/>
          <w:lang w:val="en-US" w:eastAsia="zh-CN"/>
        </w:rPr>
        <w:t>如涉及）</w:t>
      </w:r>
    </w:p>
    <w:p w14:paraId="56CD8D34">
      <w:pPr>
        <w:widowControl/>
        <w:spacing w:after="156" w:afterLines="50" w:line="560" w:lineRule="exact"/>
        <w:ind w:firstLine="281" w:firstLineChars="100"/>
        <w:jc w:val="left"/>
        <w:rPr>
          <w:rFonts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26BD8581">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本授权声明：</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（单位名称）,</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（法定代表人姓名、职务）授权</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（被授权人姓名、职务）为我方参加</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项目（采购编号：</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）磋商采购活动的合法代表，以我方名义全权处理该项目有关磋商、报价、签订合同以及执行合同等一切事宜。</w:t>
      </w:r>
    </w:p>
    <w:p w14:paraId="54E89B94">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30C47E30">
      <w:pPr>
        <w:spacing w:line="560" w:lineRule="exact"/>
        <w:ind w:firstLine="562" w:firstLineChars="200"/>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28"/>
          <w:szCs w:val="28"/>
          <w:highlight w:val="none"/>
        </w:rPr>
        <w:t>附：法定代表人身份证复印件和授权代表身份证复印件</w:t>
      </w:r>
      <w:r>
        <w:rPr>
          <w:rFonts w:hint="eastAsia" w:ascii="仿宋" w:hAnsi="仿宋" w:eastAsia="仿宋" w:cs="仿宋"/>
          <w:b/>
          <w:bCs/>
          <w:color w:val="auto"/>
          <w:sz w:val="28"/>
          <w:szCs w:val="28"/>
          <w:highlight w:val="none"/>
          <w:lang w:eastAsia="zh-CN"/>
        </w:rPr>
        <w:t>。</w:t>
      </w:r>
    </w:p>
    <w:p w14:paraId="10ED4926">
      <w:pPr>
        <w:pStyle w:val="40"/>
        <w:rPr>
          <w:color w:val="auto"/>
          <w:sz w:val="28"/>
          <w:szCs w:val="28"/>
          <w:highlight w:val="none"/>
        </w:rPr>
      </w:pPr>
    </w:p>
    <w:p w14:paraId="1156A112">
      <w:pPr>
        <w:spacing w:line="560" w:lineRule="exact"/>
        <w:ind w:firstLine="560" w:firstLineChars="200"/>
        <w:rPr>
          <w:rFonts w:hint="default" w:ascii="Times New Roman" w:hAnsi="Times New Roman" w:eastAsia="仿宋" w:cs="Times New Roman"/>
          <w:color w:val="auto"/>
          <w:sz w:val="28"/>
          <w:szCs w:val="28"/>
          <w:highlight w:val="none"/>
        </w:rPr>
      </w:pPr>
      <w:r>
        <w:rPr>
          <w:rFonts w:hint="eastAsia" w:ascii="Times New Roman" w:hAnsi="Times New Roman" w:eastAsia="仿宋" w:cs="Times New Roman"/>
          <w:color w:val="auto"/>
          <w:sz w:val="28"/>
          <w:szCs w:val="28"/>
          <w:highlight w:val="none"/>
          <w:lang w:val="en-US" w:eastAsia="zh-CN"/>
        </w:rPr>
        <w:t>供应商</w:t>
      </w:r>
      <w:r>
        <w:rPr>
          <w:rFonts w:hint="default" w:ascii="Times New Roman" w:hAnsi="Times New Roman" w:eastAsia="仿宋" w:cs="Times New Roman"/>
          <w:color w:val="auto"/>
          <w:sz w:val="28"/>
          <w:szCs w:val="28"/>
          <w:highlight w:val="none"/>
        </w:rPr>
        <w:t>名称（盖单位公章）：XXX</w:t>
      </w:r>
    </w:p>
    <w:p w14:paraId="4D8E8DE0">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eastAsia="zh-CN"/>
        </w:rPr>
        <w:t>法定代表人</w:t>
      </w:r>
      <w:r>
        <w:rPr>
          <w:rFonts w:hint="default" w:ascii="Times New Roman" w:hAnsi="Times New Roman" w:eastAsia="仿宋" w:cs="Times New Roman"/>
          <w:color w:val="auto"/>
          <w:sz w:val="28"/>
          <w:szCs w:val="28"/>
          <w:highlight w:val="none"/>
        </w:rPr>
        <w:t>（签字或盖章）：XXX</w:t>
      </w:r>
    </w:p>
    <w:p w14:paraId="10870137">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职    务：XXX</w:t>
      </w:r>
    </w:p>
    <w:p w14:paraId="6B777B91">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被授权人签字：XXX</w:t>
      </w:r>
    </w:p>
    <w:p w14:paraId="28971B02">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联系电话：XXX</w:t>
      </w:r>
    </w:p>
    <w:p w14:paraId="6D464966">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职    务：XXX</w:t>
      </w:r>
    </w:p>
    <w:p w14:paraId="4C56CB5B">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日    期：X年X月X日</w:t>
      </w:r>
    </w:p>
    <w:p w14:paraId="29A7D5BE">
      <w:pPr>
        <w:spacing w:line="560" w:lineRule="exact"/>
        <w:rPr>
          <w:rFonts w:ascii="仿宋" w:hAnsi="仿宋" w:eastAsia="仿宋" w:cs="仿宋"/>
          <w:color w:val="auto"/>
          <w:sz w:val="28"/>
          <w:szCs w:val="28"/>
          <w:highlight w:val="none"/>
        </w:rPr>
      </w:pPr>
    </w:p>
    <w:p w14:paraId="70A666F0">
      <w:pPr>
        <w:pStyle w:val="9"/>
        <w:widowControl/>
        <w:spacing w:line="560" w:lineRule="exact"/>
        <w:ind w:firstLine="562" w:firstLineChars="200"/>
        <w:rPr>
          <w:rFonts w:hint="eastAsia" w:ascii="仿宋" w:hAnsi="仿宋" w:eastAsia="仿宋" w:cs="仿宋"/>
          <w:b/>
          <w:iCs/>
          <w:color w:val="auto"/>
          <w:sz w:val="28"/>
          <w:szCs w:val="28"/>
          <w:highlight w:val="none"/>
        </w:rPr>
      </w:pPr>
      <w:r>
        <w:rPr>
          <w:rFonts w:hint="eastAsia" w:ascii="仿宋" w:hAnsi="仿宋" w:eastAsia="仿宋" w:cs="仿宋"/>
          <w:b/>
          <w:iCs/>
          <w:color w:val="auto"/>
          <w:sz w:val="28"/>
          <w:szCs w:val="28"/>
          <w:highlight w:val="none"/>
        </w:rPr>
        <w:t>提示：</w:t>
      </w:r>
    </w:p>
    <w:p w14:paraId="17DDBAB0">
      <w:pPr>
        <w:pStyle w:val="9"/>
        <w:widowControl/>
        <w:numPr>
          <w:ilvl w:val="0"/>
          <w:numId w:val="3"/>
        </w:numPr>
        <w:spacing w:line="560" w:lineRule="exact"/>
        <w:ind w:firstLine="562" w:firstLineChars="200"/>
        <w:rPr>
          <w:rFonts w:hint="eastAsia" w:ascii="仿宋" w:hAnsi="仿宋" w:eastAsia="仿宋" w:cs="仿宋"/>
          <w:b/>
          <w:iCs/>
          <w:color w:val="auto"/>
          <w:sz w:val="28"/>
          <w:szCs w:val="28"/>
          <w:highlight w:val="none"/>
        </w:rPr>
      </w:pPr>
      <w:r>
        <w:rPr>
          <w:rFonts w:hint="eastAsia" w:ascii="仿宋" w:hAnsi="仿宋" w:eastAsia="仿宋" w:cs="仿宋"/>
          <w:b/>
          <w:iCs/>
          <w:color w:val="auto"/>
          <w:sz w:val="28"/>
          <w:szCs w:val="28"/>
          <w:highlight w:val="none"/>
          <w:lang w:eastAsia="zh-CN"/>
        </w:rPr>
        <w:t>法定代表人</w:t>
      </w:r>
      <w:r>
        <w:rPr>
          <w:rFonts w:hint="eastAsia" w:ascii="仿宋" w:hAnsi="仿宋" w:eastAsia="仿宋" w:cs="仿宋"/>
          <w:b/>
          <w:iCs/>
          <w:color w:val="auto"/>
          <w:sz w:val="28"/>
          <w:szCs w:val="28"/>
          <w:highlight w:val="none"/>
        </w:rPr>
        <w:t>作为投标代表人的，不需提供此委托书。但须提供</w:t>
      </w:r>
      <w:r>
        <w:rPr>
          <w:rFonts w:hint="eastAsia" w:ascii="仿宋" w:hAnsi="仿宋" w:eastAsia="仿宋" w:cs="仿宋"/>
          <w:b/>
          <w:iCs/>
          <w:color w:val="auto"/>
          <w:sz w:val="28"/>
          <w:szCs w:val="28"/>
          <w:highlight w:val="none"/>
          <w:lang w:eastAsia="zh-CN"/>
        </w:rPr>
        <w:t>法定代表人</w:t>
      </w:r>
      <w:r>
        <w:rPr>
          <w:rFonts w:hint="eastAsia" w:ascii="仿宋" w:hAnsi="仿宋" w:eastAsia="仿宋" w:cs="仿宋"/>
          <w:b/>
          <w:iCs/>
          <w:color w:val="auto"/>
          <w:sz w:val="28"/>
          <w:szCs w:val="28"/>
          <w:highlight w:val="none"/>
        </w:rPr>
        <w:t>身份证明书。</w:t>
      </w:r>
    </w:p>
    <w:p w14:paraId="201E68EF">
      <w:pPr>
        <w:shd w:val="clear"/>
        <w:spacing w:line="560" w:lineRule="exact"/>
        <w:ind w:firstLine="562" w:firstLineChars="200"/>
        <w:rPr>
          <w:rFonts w:hint="eastAsia" w:ascii="仿宋" w:hAnsi="仿宋" w:eastAsia="仿宋" w:cs="仿宋"/>
          <w:b/>
          <w:iCs/>
          <w:color w:val="auto"/>
          <w:sz w:val="28"/>
          <w:szCs w:val="28"/>
          <w:highlight w:val="none"/>
        </w:rPr>
      </w:pPr>
      <w:r>
        <w:rPr>
          <w:rFonts w:hint="eastAsia" w:ascii="仿宋" w:hAnsi="仿宋" w:eastAsia="仿宋" w:cs="仿宋"/>
          <w:b/>
          <w:iCs/>
          <w:color w:val="auto"/>
          <w:sz w:val="28"/>
          <w:szCs w:val="28"/>
          <w:highlight w:val="none"/>
        </w:rPr>
        <w:t>2</w:t>
      </w:r>
      <w:r>
        <w:rPr>
          <w:rFonts w:hint="eastAsia" w:ascii="仿宋" w:hAnsi="仿宋" w:eastAsia="仿宋" w:cs="仿宋"/>
          <w:b/>
          <w:iCs/>
          <w:color w:val="auto"/>
          <w:sz w:val="28"/>
          <w:szCs w:val="28"/>
          <w:highlight w:val="none"/>
          <w:lang w:eastAsia="zh-CN"/>
        </w:rPr>
        <w:t>、</w:t>
      </w:r>
      <w:r>
        <w:rPr>
          <w:rFonts w:hint="eastAsia" w:ascii="仿宋" w:hAnsi="仿宋" w:eastAsia="仿宋" w:cs="仿宋"/>
          <w:b/>
          <w:iCs/>
          <w:color w:val="auto"/>
          <w:sz w:val="28"/>
          <w:szCs w:val="28"/>
          <w:highlight w:val="none"/>
          <w:lang w:val="en-US" w:eastAsia="zh-CN"/>
        </w:rPr>
        <w:t>供应商</w:t>
      </w:r>
      <w:r>
        <w:rPr>
          <w:rFonts w:hint="eastAsia" w:ascii="仿宋" w:hAnsi="仿宋" w:eastAsia="仿宋" w:cs="仿宋"/>
          <w:b/>
          <w:iCs/>
          <w:color w:val="auto"/>
          <w:sz w:val="28"/>
          <w:szCs w:val="28"/>
          <w:highlight w:val="none"/>
        </w:rPr>
        <w:t>为</w:t>
      </w:r>
      <w:r>
        <w:rPr>
          <w:rFonts w:hint="eastAsia" w:ascii="仿宋" w:hAnsi="仿宋" w:eastAsia="仿宋" w:cs="仿宋"/>
          <w:b/>
          <w:iCs/>
          <w:color w:val="auto"/>
          <w:sz w:val="28"/>
          <w:szCs w:val="28"/>
          <w:highlight w:val="none"/>
          <w:lang w:val="en-US" w:eastAsia="zh-CN"/>
        </w:rPr>
        <w:t>其他组织</w:t>
      </w:r>
      <w:r>
        <w:rPr>
          <w:rFonts w:hint="eastAsia" w:ascii="仿宋" w:hAnsi="仿宋" w:eastAsia="仿宋" w:cs="仿宋"/>
          <w:b/>
          <w:iCs/>
          <w:color w:val="auto"/>
          <w:sz w:val="28"/>
          <w:szCs w:val="28"/>
          <w:highlight w:val="none"/>
        </w:rPr>
        <w:t>无法定代表人的，可将法定代表人改为准许执业证明文件</w:t>
      </w:r>
      <w:r>
        <w:rPr>
          <w:rFonts w:hint="eastAsia" w:ascii="仿宋" w:hAnsi="仿宋" w:eastAsia="仿宋" w:cs="仿宋"/>
          <w:b/>
          <w:iCs/>
          <w:color w:val="auto"/>
          <w:sz w:val="28"/>
          <w:szCs w:val="28"/>
          <w:highlight w:val="none"/>
          <w:lang w:val="en-US" w:eastAsia="zh-CN"/>
        </w:rPr>
        <w:t>中的核定名称</w:t>
      </w:r>
      <w:r>
        <w:rPr>
          <w:rFonts w:hint="eastAsia" w:ascii="仿宋" w:hAnsi="仿宋" w:eastAsia="仿宋" w:cs="仿宋"/>
          <w:b/>
          <w:iCs/>
          <w:color w:val="auto"/>
          <w:sz w:val="28"/>
          <w:szCs w:val="28"/>
          <w:highlight w:val="none"/>
        </w:rPr>
        <w:t>。</w:t>
      </w:r>
    </w:p>
    <w:p w14:paraId="69F276EF">
      <w:pPr>
        <w:jc w:val="center"/>
        <w:rPr>
          <w:rFonts w:ascii="仿宋" w:hAnsi="仿宋" w:eastAsia="仿宋" w:cs="仿宋"/>
          <w:b/>
          <w:color w:val="auto"/>
          <w:sz w:val="30"/>
          <w:szCs w:val="30"/>
          <w:highlight w:val="none"/>
        </w:rPr>
      </w:pPr>
    </w:p>
    <w:p w14:paraId="687A6571">
      <w:pPr>
        <w:jc w:val="center"/>
        <w:rPr>
          <w:rFonts w:ascii="仿宋" w:hAnsi="仿宋" w:eastAsia="仿宋" w:cs="仿宋"/>
          <w:b/>
          <w:color w:val="auto"/>
          <w:sz w:val="30"/>
          <w:szCs w:val="30"/>
          <w:highlight w:val="none"/>
        </w:rPr>
      </w:pPr>
    </w:p>
    <w:p w14:paraId="59F4A612">
      <w:pPr>
        <w:spacing w:before="260" w:after="260"/>
        <w:jc w:val="center"/>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lang w:val="en-US" w:eastAsia="zh-CN"/>
        </w:rPr>
        <w:t>三</w:t>
      </w:r>
      <w:r>
        <w:rPr>
          <w:rFonts w:hint="eastAsia" w:ascii="仿宋" w:hAnsi="仿宋" w:eastAsia="仿宋" w:cs="仿宋"/>
          <w:b/>
          <w:color w:val="auto"/>
          <w:sz w:val="30"/>
          <w:szCs w:val="30"/>
          <w:highlight w:val="none"/>
        </w:rPr>
        <w:t>、法定代表人身份证明书</w:t>
      </w:r>
    </w:p>
    <w:p w14:paraId="60F8BABE">
      <w:pPr>
        <w:pStyle w:val="11"/>
        <w:jc w:val="center"/>
        <w:rPr>
          <w:rFonts w:ascii="仿宋" w:hAnsi="仿宋" w:eastAsia="仿宋" w:cs="仿宋"/>
          <w:color w:val="auto"/>
          <w:sz w:val="30"/>
          <w:szCs w:val="30"/>
          <w:highlight w:val="none"/>
        </w:rPr>
      </w:pPr>
      <w:r>
        <w:rPr>
          <w:rFonts w:hint="eastAsia" w:ascii="仿宋" w:hAnsi="仿宋" w:eastAsia="仿宋" w:cs="仿宋"/>
          <w:i/>
          <w:iCs/>
          <w:color w:val="auto"/>
          <w:sz w:val="30"/>
          <w:szCs w:val="30"/>
          <w:highlight w:val="none"/>
          <w:u w:val="single"/>
        </w:rPr>
        <w:t>（格式，法定代表人参与磋商时适用）</w:t>
      </w:r>
    </w:p>
    <w:p w14:paraId="073E3A0F">
      <w:pPr>
        <w:widowControl/>
        <w:spacing w:after="156" w:afterLines="50" w:line="400" w:lineRule="exact"/>
        <w:jc w:val="left"/>
        <w:rPr>
          <w:rFonts w:ascii="仿宋" w:hAnsi="仿宋" w:eastAsia="仿宋" w:cs="仿宋"/>
          <w:b/>
          <w:color w:val="auto"/>
          <w:sz w:val="30"/>
          <w:szCs w:val="30"/>
          <w:highlight w:val="none"/>
          <w:u w:val="single"/>
        </w:rPr>
      </w:pPr>
    </w:p>
    <w:p w14:paraId="2E4BB586">
      <w:pPr>
        <w:widowControl/>
        <w:spacing w:after="156" w:afterLines="50" w:line="560" w:lineRule="exact"/>
        <w:ind w:firstLine="281" w:firstLineChars="100"/>
        <w:jc w:val="left"/>
        <w:rPr>
          <w:rFonts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4E797783">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公司</w:t>
      </w:r>
      <w:r>
        <w:rPr>
          <w:rFonts w:hint="default" w:ascii="Times New Roman" w:hAnsi="Times New Roman" w:eastAsia="仿宋" w:cs="Times New Roman"/>
          <w:color w:val="auto"/>
          <w:sz w:val="28"/>
          <w:szCs w:val="28"/>
          <w:highlight w:val="none"/>
        </w:rPr>
        <w:t>名称：</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p>
    <w:p w14:paraId="0094F173">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地址：</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p>
    <w:p w14:paraId="051E355B">
      <w:pPr>
        <w:spacing w:line="56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姓名：</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rPr>
        <w:t>， 性别：</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rPr>
        <w:t>， 年龄：</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rPr>
        <w:t>（周岁），职务：</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b/>
          <w:color w:val="auto"/>
          <w:sz w:val="28"/>
          <w:szCs w:val="28"/>
          <w:highlight w:val="none"/>
          <w:u w:val="single"/>
        </w:rPr>
        <w:t xml:space="preserve">  </w:t>
      </w:r>
      <w:r>
        <w:rPr>
          <w:rFonts w:hint="default" w:ascii="Times New Roman" w:hAnsi="Times New Roman" w:eastAsia="仿宋" w:cs="Times New Roman"/>
          <w:color w:val="auto"/>
          <w:sz w:val="28"/>
          <w:szCs w:val="28"/>
          <w:highlight w:val="none"/>
        </w:rPr>
        <w:t>， 系</w:t>
      </w:r>
      <w:r>
        <w:rPr>
          <w:rFonts w:hint="default" w:ascii="Times New Roman" w:hAnsi="Times New Roman" w:eastAsia="仿宋" w:cs="Times New Roman"/>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XXX    </w:t>
      </w:r>
      <w:r>
        <w:rPr>
          <w:rFonts w:hint="default" w:ascii="Times New Roman" w:hAnsi="Times New Roman" w:eastAsia="仿宋" w:cs="Times New Roman"/>
          <w:color w:val="auto"/>
          <w:sz w:val="28"/>
          <w:szCs w:val="28"/>
          <w:highlight w:val="none"/>
        </w:rPr>
        <w:t>（供应商名称）法定代表人。</w:t>
      </w:r>
    </w:p>
    <w:p w14:paraId="7648ADC9">
      <w:pPr>
        <w:adjustRightInd w:val="0"/>
        <w:spacing w:line="560" w:lineRule="exact"/>
        <w:ind w:firstLine="560" w:firstLineChars="200"/>
        <w:jc w:val="left"/>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特此证明。</w:t>
      </w:r>
    </w:p>
    <w:p w14:paraId="2F633821">
      <w:pPr>
        <w:pStyle w:val="11"/>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69D53B30">
      <w:pPr>
        <w:spacing w:line="560" w:lineRule="exact"/>
        <w:ind w:firstLine="562" w:firstLineChars="200"/>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28"/>
          <w:szCs w:val="28"/>
          <w:highlight w:val="none"/>
        </w:rPr>
        <w:t>附：法定代表人身份证复印件</w:t>
      </w:r>
      <w:r>
        <w:rPr>
          <w:rFonts w:hint="eastAsia" w:ascii="仿宋" w:hAnsi="仿宋" w:eastAsia="仿宋" w:cs="仿宋"/>
          <w:b/>
          <w:bCs/>
          <w:color w:val="auto"/>
          <w:sz w:val="28"/>
          <w:szCs w:val="28"/>
          <w:highlight w:val="none"/>
          <w:lang w:eastAsia="zh-CN"/>
        </w:rPr>
        <w:t>。</w:t>
      </w:r>
    </w:p>
    <w:p w14:paraId="6B5D374B">
      <w:pPr>
        <w:adjustRightInd w:val="0"/>
        <w:spacing w:line="560" w:lineRule="exact"/>
        <w:ind w:firstLine="560" w:firstLineChars="200"/>
        <w:jc w:val="left"/>
        <w:rPr>
          <w:rFonts w:eastAsia="仿宋"/>
          <w:color w:val="auto"/>
          <w:sz w:val="28"/>
          <w:szCs w:val="28"/>
          <w:highlight w:val="none"/>
        </w:rPr>
      </w:pPr>
    </w:p>
    <w:p w14:paraId="1A74E3C3">
      <w:pPr>
        <w:adjustRightInd w:val="0"/>
        <w:spacing w:line="560" w:lineRule="exact"/>
        <w:jc w:val="left"/>
        <w:rPr>
          <w:rFonts w:ascii="仿宋" w:hAnsi="仿宋" w:eastAsia="仿宋" w:cs="仿宋"/>
          <w:bCs/>
          <w:color w:val="auto"/>
          <w:sz w:val="28"/>
          <w:szCs w:val="28"/>
          <w:highlight w:val="none"/>
        </w:rPr>
      </w:pPr>
    </w:p>
    <w:p w14:paraId="30D43512">
      <w:pPr>
        <w:spacing w:line="560" w:lineRule="exact"/>
        <w:ind w:firstLine="560" w:firstLineChars="200"/>
        <w:rPr>
          <w:rFonts w:ascii="仿宋" w:hAnsi="仿宋" w:eastAsia="仿宋" w:cs="仿宋"/>
          <w:color w:val="auto"/>
          <w:sz w:val="28"/>
          <w:szCs w:val="28"/>
          <w:highlight w:val="none"/>
        </w:rPr>
      </w:pPr>
    </w:p>
    <w:p w14:paraId="4E2E88AC">
      <w:pPr>
        <w:spacing w:line="56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 </w:t>
      </w:r>
    </w:p>
    <w:p w14:paraId="6AA11F39">
      <w:pPr>
        <w:spacing w:line="560" w:lineRule="exact"/>
        <w:ind w:firstLine="562" w:firstLineChars="200"/>
        <w:rPr>
          <w:rFonts w:hint="eastAsia" w:ascii="仿宋" w:hAnsi="仿宋" w:eastAsia="仿宋" w:cs="仿宋"/>
          <w:b/>
          <w:bCs/>
          <w:color w:val="auto"/>
          <w:sz w:val="28"/>
          <w:szCs w:val="28"/>
          <w:highlight w:val="none"/>
          <w:lang w:eastAsia="zh-CN"/>
        </w:rPr>
      </w:pPr>
    </w:p>
    <w:p w14:paraId="7D2E9834">
      <w:pPr>
        <w:spacing w:before="260" w:after="260"/>
        <w:jc w:val="center"/>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rPr>
        <w:t>、供应商基本情况表</w:t>
      </w:r>
    </w:p>
    <w:tbl>
      <w:tblPr>
        <w:tblStyle w:val="3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1135"/>
        <w:gridCol w:w="1260"/>
        <w:gridCol w:w="1260"/>
        <w:gridCol w:w="420"/>
        <w:gridCol w:w="480"/>
        <w:gridCol w:w="360"/>
        <w:gridCol w:w="840"/>
        <w:gridCol w:w="60"/>
        <w:gridCol w:w="360"/>
        <w:gridCol w:w="1260"/>
      </w:tblGrid>
      <w:tr w14:paraId="30E0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45" w:type="dxa"/>
            <w:vAlign w:val="center"/>
          </w:tcPr>
          <w:p w14:paraId="295DCBFC">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供应商名称</w:t>
            </w:r>
          </w:p>
        </w:tc>
        <w:tc>
          <w:tcPr>
            <w:tcW w:w="7435" w:type="dxa"/>
            <w:gridSpan w:val="10"/>
            <w:vAlign w:val="center"/>
          </w:tcPr>
          <w:p w14:paraId="409D65B0">
            <w:pPr>
              <w:jc w:val="center"/>
              <w:rPr>
                <w:rFonts w:ascii="仿宋" w:hAnsi="仿宋" w:eastAsia="仿宋" w:cs="仿宋"/>
                <w:bCs/>
                <w:color w:val="auto"/>
                <w:sz w:val="24"/>
                <w:highlight w:val="none"/>
              </w:rPr>
            </w:pPr>
          </w:p>
        </w:tc>
      </w:tr>
      <w:tr w14:paraId="44A4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45" w:type="dxa"/>
            <w:vAlign w:val="center"/>
          </w:tcPr>
          <w:p w14:paraId="5839EBC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注册地址</w:t>
            </w:r>
          </w:p>
        </w:tc>
        <w:tc>
          <w:tcPr>
            <w:tcW w:w="4555" w:type="dxa"/>
            <w:gridSpan w:val="5"/>
            <w:vAlign w:val="center"/>
          </w:tcPr>
          <w:p w14:paraId="4865EDA7">
            <w:pPr>
              <w:jc w:val="center"/>
              <w:rPr>
                <w:rFonts w:ascii="仿宋" w:hAnsi="仿宋" w:eastAsia="仿宋" w:cs="仿宋"/>
                <w:bCs/>
                <w:color w:val="auto"/>
                <w:sz w:val="24"/>
                <w:highlight w:val="none"/>
              </w:rPr>
            </w:pPr>
          </w:p>
        </w:tc>
        <w:tc>
          <w:tcPr>
            <w:tcW w:w="1260" w:type="dxa"/>
            <w:gridSpan w:val="3"/>
            <w:vAlign w:val="center"/>
          </w:tcPr>
          <w:p w14:paraId="45CC9254">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邮政编码</w:t>
            </w:r>
          </w:p>
        </w:tc>
        <w:tc>
          <w:tcPr>
            <w:tcW w:w="1620" w:type="dxa"/>
            <w:gridSpan w:val="2"/>
            <w:vAlign w:val="center"/>
          </w:tcPr>
          <w:p w14:paraId="076DE390">
            <w:pPr>
              <w:jc w:val="center"/>
              <w:rPr>
                <w:rFonts w:ascii="仿宋" w:hAnsi="仿宋" w:eastAsia="仿宋" w:cs="仿宋"/>
                <w:bCs/>
                <w:color w:val="auto"/>
                <w:sz w:val="24"/>
                <w:highlight w:val="none"/>
              </w:rPr>
            </w:pPr>
          </w:p>
        </w:tc>
      </w:tr>
      <w:tr w14:paraId="76A6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745" w:type="dxa"/>
            <w:vMerge w:val="restart"/>
            <w:vAlign w:val="center"/>
          </w:tcPr>
          <w:p w14:paraId="35E2D5B4">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联系方式</w:t>
            </w:r>
          </w:p>
        </w:tc>
        <w:tc>
          <w:tcPr>
            <w:tcW w:w="1135" w:type="dxa"/>
            <w:vAlign w:val="center"/>
          </w:tcPr>
          <w:p w14:paraId="5044A8D0">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联系人</w:t>
            </w:r>
          </w:p>
        </w:tc>
        <w:tc>
          <w:tcPr>
            <w:tcW w:w="3420" w:type="dxa"/>
            <w:gridSpan w:val="4"/>
            <w:vAlign w:val="center"/>
          </w:tcPr>
          <w:p w14:paraId="37D2EE94">
            <w:pPr>
              <w:jc w:val="center"/>
              <w:rPr>
                <w:rFonts w:ascii="仿宋" w:hAnsi="仿宋" w:eastAsia="仿宋" w:cs="仿宋"/>
                <w:bCs/>
                <w:color w:val="auto"/>
                <w:sz w:val="24"/>
                <w:highlight w:val="none"/>
              </w:rPr>
            </w:pPr>
          </w:p>
        </w:tc>
        <w:tc>
          <w:tcPr>
            <w:tcW w:w="1260" w:type="dxa"/>
            <w:gridSpan w:val="3"/>
            <w:vAlign w:val="center"/>
          </w:tcPr>
          <w:p w14:paraId="2F1C80DA">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联系电话</w:t>
            </w:r>
          </w:p>
        </w:tc>
        <w:tc>
          <w:tcPr>
            <w:tcW w:w="1620" w:type="dxa"/>
            <w:gridSpan w:val="2"/>
            <w:vAlign w:val="center"/>
          </w:tcPr>
          <w:p w14:paraId="695E8CB9">
            <w:pPr>
              <w:jc w:val="center"/>
              <w:rPr>
                <w:rFonts w:ascii="仿宋" w:hAnsi="仿宋" w:eastAsia="仿宋" w:cs="仿宋"/>
                <w:bCs/>
                <w:color w:val="auto"/>
                <w:sz w:val="24"/>
                <w:highlight w:val="none"/>
              </w:rPr>
            </w:pPr>
          </w:p>
        </w:tc>
      </w:tr>
      <w:tr w14:paraId="444C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5" w:type="dxa"/>
            <w:vMerge w:val="continue"/>
            <w:vAlign w:val="center"/>
          </w:tcPr>
          <w:p w14:paraId="5AE3CCD8">
            <w:pPr>
              <w:jc w:val="center"/>
              <w:rPr>
                <w:rFonts w:ascii="仿宋" w:hAnsi="仿宋" w:eastAsia="仿宋" w:cs="仿宋"/>
                <w:bCs/>
                <w:color w:val="auto"/>
                <w:sz w:val="24"/>
                <w:highlight w:val="none"/>
              </w:rPr>
            </w:pPr>
          </w:p>
        </w:tc>
        <w:tc>
          <w:tcPr>
            <w:tcW w:w="1135" w:type="dxa"/>
            <w:vAlign w:val="center"/>
          </w:tcPr>
          <w:p w14:paraId="604A93AC">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传真</w:t>
            </w:r>
          </w:p>
        </w:tc>
        <w:tc>
          <w:tcPr>
            <w:tcW w:w="3420" w:type="dxa"/>
            <w:gridSpan w:val="4"/>
            <w:vAlign w:val="center"/>
          </w:tcPr>
          <w:p w14:paraId="5B32D12F">
            <w:pPr>
              <w:jc w:val="center"/>
              <w:rPr>
                <w:rFonts w:ascii="仿宋" w:hAnsi="仿宋" w:eastAsia="仿宋" w:cs="仿宋"/>
                <w:bCs/>
                <w:color w:val="auto"/>
                <w:sz w:val="24"/>
                <w:highlight w:val="none"/>
              </w:rPr>
            </w:pPr>
          </w:p>
        </w:tc>
        <w:tc>
          <w:tcPr>
            <w:tcW w:w="1260" w:type="dxa"/>
            <w:gridSpan w:val="3"/>
            <w:vAlign w:val="center"/>
          </w:tcPr>
          <w:p w14:paraId="4BE71B75">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网址</w:t>
            </w:r>
          </w:p>
        </w:tc>
        <w:tc>
          <w:tcPr>
            <w:tcW w:w="1620" w:type="dxa"/>
            <w:gridSpan w:val="2"/>
            <w:vAlign w:val="center"/>
          </w:tcPr>
          <w:p w14:paraId="4E8BA97E">
            <w:pPr>
              <w:jc w:val="center"/>
              <w:rPr>
                <w:rFonts w:ascii="仿宋" w:hAnsi="仿宋" w:eastAsia="仿宋" w:cs="仿宋"/>
                <w:bCs/>
                <w:color w:val="auto"/>
                <w:sz w:val="24"/>
                <w:highlight w:val="none"/>
              </w:rPr>
            </w:pPr>
          </w:p>
        </w:tc>
      </w:tr>
      <w:tr w14:paraId="4E06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45" w:type="dxa"/>
            <w:vAlign w:val="center"/>
          </w:tcPr>
          <w:p w14:paraId="421FD499">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组织结构</w:t>
            </w:r>
          </w:p>
        </w:tc>
        <w:tc>
          <w:tcPr>
            <w:tcW w:w="7435" w:type="dxa"/>
            <w:gridSpan w:val="10"/>
            <w:vAlign w:val="center"/>
          </w:tcPr>
          <w:p w14:paraId="587792A5">
            <w:pPr>
              <w:jc w:val="center"/>
              <w:rPr>
                <w:rFonts w:ascii="仿宋" w:hAnsi="仿宋" w:eastAsia="仿宋" w:cs="仿宋"/>
                <w:bCs/>
                <w:color w:val="auto"/>
                <w:sz w:val="24"/>
                <w:highlight w:val="none"/>
              </w:rPr>
            </w:pPr>
          </w:p>
        </w:tc>
      </w:tr>
      <w:tr w14:paraId="173C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745" w:type="dxa"/>
            <w:vAlign w:val="center"/>
          </w:tcPr>
          <w:p w14:paraId="17D60D0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法定代表人</w:t>
            </w:r>
          </w:p>
        </w:tc>
        <w:tc>
          <w:tcPr>
            <w:tcW w:w="1135" w:type="dxa"/>
            <w:vAlign w:val="center"/>
          </w:tcPr>
          <w:p w14:paraId="71C43BB5">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姓名</w:t>
            </w:r>
          </w:p>
        </w:tc>
        <w:tc>
          <w:tcPr>
            <w:tcW w:w="1260" w:type="dxa"/>
            <w:vAlign w:val="center"/>
          </w:tcPr>
          <w:p w14:paraId="238F3A11">
            <w:pPr>
              <w:jc w:val="center"/>
              <w:rPr>
                <w:rFonts w:ascii="仿宋" w:hAnsi="仿宋" w:eastAsia="仿宋" w:cs="仿宋"/>
                <w:bCs/>
                <w:color w:val="auto"/>
                <w:sz w:val="24"/>
                <w:highlight w:val="none"/>
              </w:rPr>
            </w:pPr>
          </w:p>
        </w:tc>
        <w:tc>
          <w:tcPr>
            <w:tcW w:w="1260" w:type="dxa"/>
            <w:vAlign w:val="center"/>
          </w:tcPr>
          <w:p w14:paraId="2223457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技术职称</w:t>
            </w:r>
          </w:p>
        </w:tc>
        <w:tc>
          <w:tcPr>
            <w:tcW w:w="1260" w:type="dxa"/>
            <w:gridSpan w:val="3"/>
            <w:vAlign w:val="center"/>
          </w:tcPr>
          <w:p w14:paraId="18761359">
            <w:pPr>
              <w:jc w:val="center"/>
              <w:rPr>
                <w:rFonts w:ascii="仿宋" w:hAnsi="仿宋" w:eastAsia="仿宋" w:cs="仿宋"/>
                <w:bCs/>
                <w:color w:val="auto"/>
                <w:sz w:val="24"/>
                <w:highlight w:val="none"/>
              </w:rPr>
            </w:pPr>
          </w:p>
        </w:tc>
        <w:tc>
          <w:tcPr>
            <w:tcW w:w="1260" w:type="dxa"/>
            <w:gridSpan w:val="3"/>
            <w:vAlign w:val="center"/>
          </w:tcPr>
          <w:p w14:paraId="22C39565">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联系电话</w:t>
            </w:r>
          </w:p>
        </w:tc>
        <w:tc>
          <w:tcPr>
            <w:tcW w:w="1260" w:type="dxa"/>
            <w:vAlign w:val="center"/>
          </w:tcPr>
          <w:p w14:paraId="2163DF66">
            <w:pPr>
              <w:jc w:val="center"/>
              <w:rPr>
                <w:rFonts w:ascii="仿宋" w:hAnsi="仿宋" w:eastAsia="仿宋" w:cs="仿宋"/>
                <w:bCs/>
                <w:color w:val="auto"/>
                <w:sz w:val="24"/>
                <w:highlight w:val="none"/>
              </w:rPr>
            </w:pPr>
          </w:p>
        </w:tc>
      </w:tr>
      <w:tr w14:paraId="78DE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45" w:type="dxa"/>
            <w:vAlign w:val="center"/>
          </w:tcPr>
          <w:p w14:paraId="61E0510F">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技术负责人</w:t>
            </w:r>
          </w:p>
        </w:tc>
        <w:tc>
          <w:tcPr>
            <w:tcW w:w="1135" w:type="dxa"/>
            <w:vAlign w:val="center"/>
          </w:tcPr>
          <w:p w14:paraId="4F024946">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姓名</w:t>
            </w:r>
          </w:p>
        </w:tc>
        <w:tc>
          <w:tcPr>
            <w:tcW w:w="1260" w:type="dxa"/>
            <w:vAlign w:val="center"/>
          </w:tcPr>
          <w:p w14:paraId="1388E116">
            <w:pPr>
              <w:jc w:val="center"/>
              <w:rPr>
                <w:rFonts w:ascii="仿宋" w:hAnsi="仿宋" w:eastAsia="仿宋" w:cs="仿宋"/>
                <w:bCs/>
                <w:color w:val="auto"/>
                <w:sz w:val="24"/>
                <w:highlight w:val="none"/>
              </w:rPr>
            </w:pPr>
          </w:p>
        </w:tc>
        <w:tc>
          <w:tcPr>
            <w:tcW w:w="1260" w:type="dxa"/>
            <w:vAlign w:val="center"/>
          </w:tcPr>
          <w:p w14:paraId="3FD5DBC9">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技术职称</w:t>
            </w:r>
          </w:p>
        </w:tc>
        <w:tc>
          <w:tcPr>
            <w:tcW w:w="1260" w:type="dxa"/>
            <w:gridSpan w:val="3"/>
            <w:vAlign w:val="center"/>
          </w:tcPr>
          <w:p w14:paraId="34EFD93C">
            <w:pPr>
              <w:jc w:val="center"/>
              <w:rPr>
                <w:rFonts w:ascii="仿宋" w:hAnsi="仿宋" w:eastAsia="仿宋" w:cs="仿宋"/>
                <w:bCs/>
                <w:color w:val="auto"/>
                <w:sz w:val="24"/>
                <w:highlight w:val="none"/>
              </w:rPr>
            </w:pPr>
          </w:p>
        </w:tc>
        <w:tc>
          <w:tcPr>
            <w:tcW w:w="1260" w:type="dxa"/>
            <w:gridSpan w:val="3"/>
            <w:vAlign w:val="center"/>
          </w:tcPr>
          <w:p w14:paraId="1B8748E2">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联系电话</w:t>
            </w:r>
          </w:p>
        </w:tc>
        <w:tc>
          <w:tcPr>
            <w:tcW w:w="1260" w:type="dxa"/>
            <w:vAlign w:val="center"/>
          </w:tcPr>
          <w:p w14:paraId="4F8371E9">
            <w:pPr>
              <w:jc w:val="center"/>
              <w:rPr>
                <w:rFonts w:ascii="仿宋" w:hAnsi="仿宋" w:eastAsia="仿宋" w:cs="仿宋"/>
                <w:bCs/>
                <w:color w:val="auto"/>
                <w:sz w:val="24"/>
                <w:highlight w:val="none"/>
              </w:rPr>
            </w:pPr>
          </w:p>
        </w:tc>
      </w:tr>
      <w:tr w14:paraId="529C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45" w:type="dxa"/>
            <w:vAlign w:val="center"/>
          </w:tcPr>
          <w:p w14:paraId="78703A7C">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成立时间</w:t>
            </w:r>
          </w:p>
        </w:tc>
        <w:tc>
          <w:tcPr>
            <w:tcW w:w="2395" w:type="dxa"/>
            <w:gridSpan w:val="2"/>
            <w:vAlign w:val="center"/>
          </w:tcPr>
          <w:p w14:paraId="001928E4">
            <w:pPr>
              <w:jc w:val="center"/>
              <w:rPr>
                <w:rFonts w:ascii="仿宋" w:hAnsi="仿宋" w:eastAsia="仿宋" w:cs="仿宋"/>
                <w:bCs/>
                <w:color w:val="auto"/>
                <w:sz w:val="24"/>
                <w:highlight w:val="none"/>
              </w:rPr>
            </w:pPr>
          </w:p>
        </w:tc>
        <w:tc>
          <w:tcPr>
            <w:tcW w:w="5040" w:type="dxa"/>
            <w:gridSpan w:val="8"/>
            <w:vAlign w:val="center"/>
          </w:tcPr>
          <w:p w14:paraId="74AF389C">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员工总人数：</w:t>
            </w:r>
          </w:p>
        </w:tc>
      </w:tr>
      <w:tr w14:paraId="43E7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745" w:type="dxa"/>
            <w:vAlign w:val="center"/>
          </w:tcPr>
          <w:p w14:paraId="6D251C5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企业资质等级</w:t>
            </w:r>
          </w:p>
        </w:tc>
        <w:tc>
          <w:tcPr>
            <w:tcW w:w="2395" w:type="dxa"/>
            <w:gridSpan w:val="2"/>
            <w:vAlign w:val="center"/>
          </w:tcPr>
          <w:p w14:paraId="47654D9D">
            <w:pPr>
              <w:jc w:val="center"/>
              <w:rPr>
                <w:rFonts w:ascii="仿宋" w:hAnsi="仿宋" w:eastAsia="仿宋" w:cs="仿宋"/>
                <w:bCs/>
                <w:color w:val="auto"/>
                <w:sz w:val="24"/>
                <w:highlight w:val="none"/>
              </w:rPr>
            </w:pPr>
          </w:p>
        </w:tc>
        <w:tc>
          <w:tcPr>
            <w:tcW w:w="1680" w:type="dxa"/>
            <w:gridSpan w:val="2"/>
            <w:vMerge w:val="restart"/>
            <w:vAlign w:val="center"/>
          </w:tcPr>
          <w:p w14:paraId="4141D210">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其中</w:t>
            </w:r>
          </w:p>
        </w:tc>
        <w:tc>
          <w:tcPr>
            <w:tcW w:w="1680" w:type="dxa"/>
            <w:gridSpan w:val="3"/>
            <w:vAlign w:val="center"/>
          </w:tcPr>
          <w:p w14:paraId="5017CA2E">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项目经理</w:t>
            </w:r>
          </w:p>
        </w:tc>
        <w:tc>
          <w:tcPr>
            <w:tcW w:w="1680" w:type="dxa"/>
            <w:gridSpan w:val="3"/>
            <w:vAlign w:val="center"/>
          </w:tcPr>
          <w:p w14:paraId="4A942FA1">
            <w:pPr>
              <w:jc w:val="center"/>
              <w:rPr>
                <w:rFonts w:ascii="仿宋" w:hAnsi="仿宋" w:eastAsia="仿宋" w:cs="仿宋"/>
                <w:bCs/>
                <w:color w:val="auto"/>
                <w:sz w:val="24"/>
                <w:highlight w:val="none"/>
              </w:rPr>
            </w:pPr>
          </w:p>
        </w:tc>
      </w:tr>
      <w:tr w14:paraId="1A15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45" w:type="dxa"/>
            <w:vAlign w:val="center"/>
          </w:tcPr>
          <w:p w14:paraId="7CF9AAF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营业执照</w:t>
            </w:r>
            <w:r>
              <w:rPr>
                <w:rFonts w:hint="eastAsia" w:ascii="仿宋" w:hAnsi="仿宋" w:eastAsia="仿宋" w:cs="仿宋"/>
                <w:color w:val="auto"/>
                <w:sz w:val="24"/>
                <w:highlight w:val="none"/>
              </w:rPr>
              <w:t>号</w:t>
            </w:r>
          </w:p>
        </w:tc>
        <w:tc>
          <w:tcPr>
            <w:tcW w:w="2395" w:type="dxa"/>
            <w:gridSpan w:val="2"/>
            <w:vAlign w:val="center"/>
          </w:tcPr>
          <w:p w14:paraId="4B786DD5">
            <w:pPr>
              <w:jc w:val="center"/>
              <w:rPr>
                <w:rFonts w:ascii="仿宋" w:hAnsi="仿宋" w:eastAsia="仿宋" w:cs="仿宋"/>
                <w:bCs/>
                <w:color w:val="auto"/>
                <w:sz w:val="24"/>
                <w:highlight w:val="none"/>
              </w:rPr>
            </w:pPr>
          </w:p>
        </w:tc>
        <w:tc>
          <w:tcPr>
            <w:tcW w:w="1680" w:type="dxa"/>
            <w:gridSpan w:val="2"/>
            <w:vMerge w:val="continue"/>
            <w:vAlign w:val="center"/>
          </w:tcPr>
          <w:p w14:paraId="5486F42F">
            <w:pPr>
              <w:jc w:val="center"/>
              <w:rPr>
                <w:rFonts w:ascii="仿宋" w:hAnsi="仿宋" w:eastAsia="仿宋" w:cs="仿宋"/>
                <w:bCs/>
                <w:color w:val="auto"/>
                <w:sz w:val="24"/>
                <w:highlight w:val="none"/>
              </w:rPr>
            </w:pPr>
          </w:p>
        </w:tc>
        <w:tc>
          <w:tcPr>
            <w:tcW w:w="1680" w:type="dxa"/>
            <w:gridSpan w:val="3"/>
            <w:vAlign w:val="center"/>
          </w:tcPr>
          <w:p w14:paraId="3178A10A">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高级职称人员</w:t>
            </w:r>
          </w:p>
        </w:tc>
        <w:tc>
          <w:tcPr>
            <w:tcW w:w="1680" w:type="dxa"/>
            <w:gridSpan w:val="3"/>
            <w:vAlign w:val="center"/>
          </w:tcPr>
          <w:p w14:paraId="62CA327A">
            <w:pPr>
              <w:jc w:val="center"/>
              <w:rPr>
                <w:rFonts w:ascii="仿宋" w:hAnsi="仿宋" w:eastAsia="仿宋" w:cs="仿宋"/>
                <w:bCs/>
                <w:color w:val="auto"/>
                <w:sz w:val="24"/>
                <w:highlight w:val="none"/>
              </w:rPr>
            </w:pPr>
          </w:p>
        </w:tc>
      </w:tr>
      <w:tr w14:paraId="5301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45" w:type="dxa"/>
            <w:vAlign w:val="center"/>
          </w:tcPr>
          <w:p w14:paraId="64FD325B">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注册资金</w:t>
            </w:r>
          </w:p>
        </w:tc>
        <w:tc>
          <w:tcPr>
            <w:tcW w:w="2395" w:type="dxa"/>
            <w:gridSpan w:val="2"/>
            <w:vAlign w:val="center"/>
          </w:tcPr>
          <w:p w14:paraId="035952FB">
            <w:pPr>
              <w:jc w:val="center"/>
              <w:rPr>
                <w:rFonts w:ascii="仿宋" w:hAnsi="仿宋" w:eastAsia="仿宋" w:cs="仿宋"/>
                <w:bCs/>
                <w:color w:val="auto"/>
                <w:sz w:val="24"/>
                <w:highlight w:val="none"/>
              </w:rPr>
            </w:pPr>
          </w:p>
        </w:tc>
        <w:tc>
          <w:tcPr>
            <w:tcW w:w="1680" w:type="dxa"/>
            <w:gridSpan w:val="2"/>
            <w:vMerge w:val="continue"/>
            <w:vAlign w:val="center"/>
          </w:tcPr>
          <w:p w14:paraId="4D796225">
            <w:pPr>
              <w:jc w:val="center"/>
              <w:rPr>
                <w:rFonts w:ascii="仿宋" w:hAnsi="仿宋" w:eastAsia="仿宋" w:cs="仿宋"/>
                <w:bCs/>
                <w:color w:val="auto"/>
                <w:sz w:val="24"/>
                <w:highlight w:val="none"/>
              </w:rPr>
            </w:pPr>
          </w:p>
        </w:tc>
        <w:tc>
          <w:tcPr>
            <w:tcW w:w="1680" w:type="dxa"/>
            <w:gridSpan w:val="3"/>
            <w:vAlign w:val="center"/>
          </w:tcPr>
          <w:p w14:paraId="16794911">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中级职称人员</w:t>
            </w:r>
          </w:p>
        </w:tc>
        <w:tc>
          <w:tcPr>
            <w:tcW w:w="1680" w:type="dxa"/>
            <w:gridSpan w:val="3"/>
            <w:vAlign w:val="center"/>
          </w:tcPr>
          <w:p w14:paraId="2F606E84">
            <w:pPr>
              <w:jc w:val="center"/>
              <w:rPr>
                <w:rFonts w:ascii="仿宋" w:hAnsi="仿宋" w:eastAsia="仿宋" w:cs="仿宋"/>
                <w:bCs/>
                <w:color w:val="auto"/>
                <w:sz w:val="24"/>
                <w:highlight w:val="none"/>
              </w:rPr>
            </w:pPr>
          </w:p>
        </w:tc>
      </w:tr>
      <w:tr w14:paraId="41D2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45" w:type="dxa"/>
            <w:vAlign w:val="center"/>
          </w:tcPr>
          <w:p w14:paraId="5F22FA67">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开户银行</w:t>
            </w:r>
          </w:p>
        </w:tc>
        <w:tc>
          <w:tcPr>
            <w:tcW w:w="2395" w:type="dxa"/>
            <w:gridSpan w:val="2"/>
            <w:vAlign w:val="center"/>
          </w:tcPr>
          <w:p w14:paraId="68C12547">
            <w:pPr>
              <w:jc w:val="center"/>
              <w:rPr>
                <w:rFonts w:ascii="仿宋" w:hAnsi="仿宋" w:eastAsia="仿宋" w:cs="仿宋"/>
                <w:bCs/>
                <w:color w:val="auto"/>
                <w:sz w:val="24"/>
                <w:highlight w:val="none"/>
              </w:rPr>
            </w:pPr>
          </w:p>
        </w:tc>
        <w:tc>
          <w:tcPr>
            <w:tcW w:w="1680" w:type="dxa"/>
            <w:gridSpan w:val="2"/>
            <w:vMerge w:val="continue"/>
            <w:vAlign w:val="center"/>
          </w:tcPr>
          <w:p w14:paraId="10744AF5">
            <w:pPr>
              <w:jc w:val="center"/>
              <w:rPr>
                <w:rFonts w:ascii="仿宋" w:hAnsi="仿宋" w:eastAsia="仿宋" w:cs="仿宋"/>
                <w:bCs/>
                <w:color w:val="auto"/>
                <w:sz w:val="24"/>
                <w:highlight w:val="none"/>
              </w:rPr>
            </w:pPr>
          </w:p>
        </w:tc>
        <w:tc>
          <w:tcPr>
            <w:tcW w:w="1680" w:type="dxa"/>
            <w:gridSpan w:val="3"/>
            <w:vAlign w:val="center"/>
          </w:tcPr>
          <w:p w14:paraId="488ECC89">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初级职称人员</w:t>
            </w:r>
          </w:p>
        </w:tc>
        <w:tc>
          <w:tcPr>
            <w:tcW w:w="1680" w:type="dxa"/>
            <w:gridSpan w:val="3"/>
            <w:vAlign w:val="center"/>
          </w:tcPr>
          <w:p w14:paraId="18910514">
            <w:pPr>
              <w:jc w:val="center"/>
              <w:rPr>
                <w:rFonts w:ascii="仿宋" w:hAnsi="仿宋" w:eastAsia="仿宋" w:cs="仿宋"/>
                <w:bCs/>
                <w:color w:val="auto"/>
                <w:sz w:val="24"/>
                <w:highlight w:val="none"/>
              </w:rPr>
            </w:pPr>
          </w:p>
        </w:tc>
      </w:tr>
      <w:tr w14:paraId="1AB2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745" w:type="dxa"/>
            <w:vAlign w:val="center"/>
          </w:tcPr>
          <w:p w14:paraId="2FC5E0AA">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账号</w:t>
            </w:r>
          </w:p>
        </w:tc>
        <w:tc>
          <w:tcPr>
            <w:tcW w:w="2395" w:type="dxa"/>
            <w:gridSpan w:val="2"/>
            <w:vAlign w:val="center"/>
          </w:tcPr>
          <w:p w14:paraId="1843E94D">
            <w:pPr>
              <w:jc w:val="center"/>
              <w:rPr>
                <w:rFonts w:ascii="仿宋" w:hAnsi="仿宋" w:eastAsia="仿宋" w:cs="仿宋"/>
                <w:bCs/>
                <w:color w:val="auto"/>
                <w:sz w:val="24"/>
                <w:highlight w:val="none"/>
              </w:rPr>
            </w:pPr>
          </w:p>
        </w:tc>
        <w:tc>
          <w:tcPr>
            <w:tcW w:w="1680" w:type="dxa"/>
            <w:gridSpan w:val="2"/>
            <w:vMerge w:val="continue"/>
            <w:vAlign w:val="center"/>
          </w:tcPr>
          <w:p w14:paraId="587218CD">
            <w:pPr>
              <w:jc w:val="center"/>
              <w:rPr>
                <w:rFonts w:ascii="仿宋" w:hAnsi="仿宋" w:eastAsia="仿宋" w:cs="仿宋"/>
                <w:bCs/>
                <w:color w:val="auto"/>
                <w:sz w:val="24"/>
                <w:highlight w:val="none"/>
              </w:rPr>
            </w:pPr>
          </w:p>
        </w:tc>
        <w:tc>
          <w:tcPr>
            <w:tcW w:w="1680" w:type="dxa"/>
            <w:gridSpan w:val="3"/>
            <w:vAlign w:val="center"/>
          </w:tcPr>
          <w:p w14:paraId="652CD54F">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技工</w:t>
            </w:r>
          </w:p>
        </w:tc>
        <w:tc>
          <w:tcPr>
            <w:tcW w:w="1680" w:type="dxa"/>
            <w:gridSpan w:val="3"/>
            <w:vAlign w:val="center"/>
          </w:tcPr>
          <w:p w14:paraId="6A6B5A05">
            <w:pPr>
              <w:jc w:val="center"/>
              <w:rPr>
                <w:rFonts w:ascii="仿宋" w:hAnsi="仿宋" w:eastAsia="仿宋" w:cs="仿宋"/>
                <w:bCs/>
                <w:color w:val="auto"/>
                <w:sz w:val="24"/>
                <w:highlight w:val="none"/>
              </w:rPr>
            </w:pPr>
          </w:p>
        </w:tc>
      </w:tr>
      <w:tr w14:paraId="2CB2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745" w:type="dxa"/>
            <w:vAlign w:val="center"/>
          </w:tcPr>
          <w:p w14:paraId="64F17C83">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经营范围</w:t>
            </w:r>
          </w:p>
        </w:tc>
        <w:tc>
          <w:tcPr>
            <w:tcW w:w="7435" w:type="dxa"/>
            <w:gridSpan w:val="10"/>
            <w:vAlign w:val="center"/>
          </w:tcPr>
          <w:p w14:paraId="720093E9">
            <w:pPr>
              <w:jc w:val="center"/>
              <w:rPr>
                <w:rFonts w:ascii="仿宋" w:hAnsi="仿宋" w:eastAsia="仿宋" w:cs="仿宋"/>
                <w:bCs/>
                <w:color w:val="auto"/>
                <w:sz w:val="24"/>
                <w:highlight w:val="none"/>
              </w:rPr>
            </w:pPr>
          </w:p>
        </w:tc>
      </w:tr>
      <w:tr w14:paraId="1B55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5" w:type="dxa"/>
            <w:vAlign w:val="center"/>
          </w:tcPr>
          <w:p w14:paraId="136A2D05">
            <w:pPr>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备注</w:t>
            </w:r>
          </w:p>
        </w:tc>
        <w:tc>
          <w:tcPr>
            <w:tcW w:w="7435" w:type="dxa"/>
            <w:gridSpan w:val="10"/>
            <w:vAlign w:val="center"/>
          </w:tcPr>
          <w:p w14:paraId="133EF62E">
            <w:pPr>
              <w:jc w:val="center"/>
              <w:rPr>
                <w:rFonts w:ascii="仿宋" w:hAnsi="仿宋" w:eastAsia="仿宋" w:cs="仿宋"/>
                <w:bCs/>
                <w:color w:val="auto"/>
                <w:sz w:val="24"/>
                <w:highlight w:val="none"/>
              </w:rPr>
            </w:pPr>
          </w:p>
        </w:tc>
      </w:tr>
    </w:tbl>
    <w:p w14:paraId="7EE78FA4">
      <w:pPr>
        <w:adjustRightInd w:val="0"/>
        <w:spacing w:line="400" w:lineRule="exact"/>
        <w:jc w:val="left"/>
        <w:rPr>
          <w:rFonts w:ascii="仿宋" w:hAnsi="仿宋" w:eastAsia="仿宋" w:cs="仿宋"/>
          <w:color w:val="auto"/>
          <w:sz w:val="30"/>
          <w:szCs w:val="30"/>
          <w:highlight w:val="none"/>
        </w:rPr>
      </w:pPr>
    </w:p>
    <w:p w14:paraId="5CA619E2">
      <w:pPr>
        <w:spacing w:line="400" w:lineRule="exact"/>
        <w:ind w:firstLine="602" w:firstLineChars="200"/>
        <w:jc w:val="center"/>
        <w:rPr>
          <w:rFonts w:ascii="仿宋" w:hAnsi="仿宋" w:eastAsia="仿宋" w:cs="仿宋"/>
          <w:b/>
          <w:color w:val="auto"/>
          <w:sz w:val="30"/>
          <w:szCs w:val="30"/>
          <w:highlight w:val="none"/>
        </w:rPr>
      </w:pPr>
    </w:p>
    <w:p w14:paraId="4839F7DE">
      <w:pPr>
        <w:spacing w:line="400" w:lineRule="exact"/>
        <w:ind w:firstLine="602" w:firstLineChars="200"/>
        <w:jc w:val="center"/>
        <w:rPr>
          <w:rFonts w:ascii="仿宋" w:hAnsi="仿宋" w:eastAsia="仿宋" w:cs="仿宋"/>
          <w:b/>
          <w:color w:val="auto"/>
          <w:sz w:val="30"/>
          <w:szCs w:val="30"/>
          <w:highlight w:val="none"/>
        </w:rPr>
      </w:pPr>
    </w:p>
    <w:p w14:paraId="0E5AB1A6">
      <w:pPr>
        <w:spacing w:before="260" w:after="260" w:line="400" w:lineRule="exact"/>
        <w:jc w:val="center"/>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lang w:val="en-US" w:eastAsia="zh-CN"/>
        </w:rPr>
        <w:t>五</w:t>
      </w:r>
      <w:r>
        <w:rPr>
          <w:rFonts w:hint="eastAsia" w:ascii="仿宋" w:hAnsi="仿宋" w:eastAsia="仿宋" w:cs="仿宋"/>
          <w:b/>
          <w:color w:val="auto"/>
          <w:sz w:val="30"/>
          <w:szCs w:val="30"/>
          <w:highlight w:val="none"/>
        </w:rPr>
        <w:t>、承诺函</w:t>
      </w:r>
    </w:p>
    <w:p w14:paraId="6E177CF9">
      <w:pPr>
        <w:widowControl/>
        <w:spacing w:after="156" w:afterLines="50" w:line="560" w:lineRule="exact"/>
        <w:ind w:firstLine="281" w:firstLineChars="100"/>
        <w:jc w:val="left"/>
        <w:rPr>
          <w:rFonts w:hint="default" w:ascii="Times New Roman" w:hAnsi="Times New Roman" w:eastAsia="仿宋" w:cs="Times New Roman"/>
          <w:b/>
          <w:bCs/>
          <w:color w:val="auto"/>
          <w:sz w:val="28"/>
          <w:szCs w:val="28"/>
          <w:highlight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73233DCF">
      <w:pPr>
        <w:spacing w:line="560" w:lineRule="exact"/>
        <w:ind w:firstLine="561"/>
        <w:rPr>
          <w:rFonts w:ascii="仿宋" w:hAnsi="仿宋" w:eastAsia="仿宋"/>
          <w:color w:val="auto"/>
          <w:sz w:val="28"/>
          <w:szCs w:val="28"/>
          <w:highlight w:val="none"/>
        </w:rPr>
      </w:pPr>
      <w:r>
        <w:rPr>
          <w:rFonts w:hint="eastAsia" w:ascii="仿宋" w:hAnsi="仿宋" w:eastAsia="仿宋"/>
          <w:color w:val="auto"/>
          <w:sz w:val="28"/>
          <w:szCs w:val="28"/>
          <w:highlight w:val="none"/>
        </w:rPr>
        <w:t>我公司作为本次采购项目的供应商，根据</w:t>
      </w:r>
      <w:r>
        <w:rPr>
          <w:rFonts w:hint="eastAsia" w:ascii="仿宋" w:hAnsi="仿宋" w:eastAsia="仿宋"/>
          <w:color w:val="auto"/>
          <w:sz w:val="28"/>
          <w:szCs w:val="28"/>
          <w:highlight w:val="none"/>
          <w:lang w:eastAsia="zh-CN"/>
        </w:rPr>
        <w:t>磋商</w:t>
      </w:r>
      <w:r>
        <w:rPr>
          <w:rFonts w:hint="eastAsia" w:ascii="仿宋" w:hAnsi="仿宋" w:eastAsia="仿宋"/>
          <w:color w:val="auto"/>
          <w:sz w:val="28"/>
          <w:szCs w:val="28"/>
          <w:highlight w:val="none"/>
        </w:rPr>
        <w:t>文件要求，现郑重承诺如下：</w:t>
      </w:r>
    </w:p>
    <w:p w14:paraId="0D3F0777">
      <w:pPr>
        <w:spacing w:line="560" w:lineRule="exact"/>
        <w:ind w:firstLine="561"/>
        <w:rPr>
          <w:rFonts w:ascii="仿宋" w:hAnsi="仿宋" w:eastAsia="仿宋"/>
          <w:color w:val="auto"/>
          <w:sz w:val="28"/>
          <w:szCs w:val="28"/>
          <w:highlight w:val="none"/>
        </w:rPr>
      </w:pPr>
      <w:r>
        <w:rPr>
          <w:rFonts w:hint="eastAsia" w:ascii="仿宋" w:hAnsi="仿宋" w:eastAsia="仿宋"/>
          <w:color w:val="auto"/>
          <w:sz w:val="28"/>
          <w:szCs w:val="28"/>
          <w:highlight w:val="none"/>
        </w:rPr>
        <w:t>一、具备本项目规定的条件：</w:t>
      </w:r>
    </w:p>
    <w:p w14:paraId="10BC37A6">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1、具有独立承担民事责任的能力；</w:t>
      </w:r>
    </w:p>
    <w:p w14:paraId="34E42915">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2、具有良好的商业信誉和健全的财务会计制度；</w:t>
      </w:r>
    </w:p>
    <w:p w14:paraId="65A81140">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3、具有履行合同所必需的设备和专业技术售后保障等能力；</w:t>
      </w:r>
    </w:p>
    <w:p w14:paraId="129879E4">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4、有依法缴纳税收和社会保障资金的良好记录；</w:t>
      </w:r>
    </w:p>
    <w:p w14:paraId="7852D5E1">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5、参加采购、招投标等活动前三年内，在经营活动中没有重大违法记录和行贿记录；</w:t>
      </w:r>
    </w:p>
    <w:p w14:paraId="78A19F60">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6、未被列入采购平台诚信评价体系或黑名单；</w:t>
      </w:r>
    </w:p>
    <w:p w14:paraId="15849546">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7、法律、行政法规规定的其他条件；</w:t>
      </w:r>
    </w:p>
    <w:p w14:paraId="2437BE97">
      <w:pPr>
        <w:spacing w:line="520" w:lineRule="exact"/>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8、本项目的特定资格要求：</w:t>
      </w:r>
      <w:r>
        <w:rPr>
          <w:rFonts w:hint="eastAsia" w:ascii="仿宋" w:hAnsi="仿宋" w:eastAsia="仿宋"/>
          <w:color w:val="auto"/>
          <w:sz w:val="28"/>
          <w:szCs w:val="28"/>
          <w:highlight w:val="none"/>
          <w:lang w:val="en-US" w:eastAsia="zh-CN"/>
        </w:rPr>
        <w:t>无</w:t>
      </w:r>
      <w:r>
        <w:rPr>
          <w:rFonts w:hint="eastAsia" w:ascii="仿宋" w:hAnsi="仿宋" w:eastAsia="仿宋"/>
          <w:color w:val="auto"/>
          <w:sz w:val="28"/>
          <w:szCs w:val="28"/>
          <w:highlight w:val="none"/>
        </w:rPr>
        <w:t>。</w:t>
      </w:r>
    </w:p>
    <w:p w14:paraId="450EA6F4">
      <w:pPr>
        <w:spacing w:line="52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rPr>
        <w:t>9、本次采购</w:t>
      </w:r>
      <w:r>
        <w:rPr>
          <w:rFonts w:hint="eastAsia" w:ascii="仿宋" w:hAnsi="仿宋" w:eastAsia="仿宋"/>
          <w:color w:val="auto"/>
          <w:sz w:val="28"/>
          <w:szCs w:val="28"/>
          <w:highlight w:val="none"/>
          <w:lang w:val="en-US" w:eastAsia="zh-CN"/>
        </w:rPr>
        <w:t>不</w:t>
      </w:r>
      <w:r>
        <w:rPr>
          <w:rFonts w:hint="eastAsia" w:ascii="仿宋" w:hAnsi="仿宋" w:eastAsia="仿宋"/>
          <w:color w:val="auto"/>
          <w:sz w:val="28"/>
          <w:szCs w:val="28"/>
          <w:highlight w:val="none"/>
        </w:rPr>
        <w:t>接受联合体参加。</w:t>
      </w:r>
    </w:p>
    <w:p w14:paraId="11CABD3D">
      <w:pPr>
        <w:spacing w:line="560" w:lineRule="exact"/>
        <w:ind w:firstLine="561"/>
        <w:rPr>
          <w:rFonts w:ascii="仿宋" w:hAnsi="仿宋" w:eastAsia="仿宋"/>
          <w:color w:val="auto"/>
          <w:sz w:val="28"/>
          <w:szCs w:val="28"/>
          <w:highlight w:val="none"/>
        </w:rPr>
      </w:pPr>
      <w:r>
        <w:rPr>
          <w:rFonts w:hint="eastAsia" w:ascii="仿宋" w:hAnsi="仿宋" w:eastAsia="仿宋"/>
          <w:color w:val="auto"/>
          <w:sz w:val="28"/>
          <w:szCs w:val="28"/>
          <w:highlight w:val="none"/>
        </w:rPr>
        <w:t>二、完全接受和满足本项目</w:t>
      </w:r>
      <w:r>
        <w:rPr>
          <w:rFonts w:hint="eastAsia" w:ascii="仿宋" w:hAnsi="仿宋" w:eastAsia="仿宋"/>
          <w:color w:val="auto"/>
          <w:sz w:val="28"/>
          <w:szCs w:val="28"/>
          <w:highlight w:val="none"/>
          <w:lang w:eastAsia="zh-CN"/>
        </w:rPr>
        <w:t>磋商</w:t>
      </w:r>
      <w:r>
        <w:rPr>
          <w:rFonts w:hint="eastAsia" w:ascii="仿宋" w:hAnsi="仿宋" w:eastAsia="仿宋"/>
          <w:color w:val="auto"/>
          <w:sz w:val="28"/>
          <w:szCs w:val="28"/>
          <w:highlight w:val="none"/>
        </w:rPr>
        <w:t>文件中规定的实质性要求，如对</w:t>
      </w:r>
      <w:r>
        <w:rPr>
          <w:rFonts w:hint="eastAsia" w:ascii="仿宋" w:hAnsi="仿宋" w:eastAsia="仿宋"/>
          <w:color w:val="auto"/>
          <w:sz w:val="28"/>
          <w:szCs w:val="28"/>
          <w:highlight w:val="none"/>
          <w:lang w:eastAsia="zh-CN"/>
        </w:rPr>
        <w:t>磋商</w:t>
      </w:r>
      <w:r>
        <w:rPr>
          <w:rFonts w:hint="eastAsia" w:ascii="仿宋" w:hAnsi="仿宋" w:eastAsia="仿宋"/>
          <w:color w:val="auto"/>
          <w:sz w:val="28"/>
          <w:szCs w:val="28"/>
          <w:highlight w:val="none"/>
        </w:rPr>
        <w:t>文件有异议，已经在投标截止时间届满前依法进行维权救济，不存在对</w:t>
      </w:r>
      <w:r>
        <w:rPr>
          <w:rFonts w:hint="eastAsia" w:ascii="仿宋" w:hAnsi="仿宋" w:eastAsia="仿宋"/>
          <w:color w:val="auto"/>
          <w:sz w:val="28"/>
          <w:szCs w:val="28"/>
          <w:highlight w:val="none"/>
          <w:lang w:eastAsia="zh-CN"/>
        </w:rPr>
        <w:t>磋商</w:t>
      </w:r>
      <w:r>
        <w:rPr>
          <w:rFonts w:hint="eastAsia" w:ascii="仿宋" w:hAnsi="仿宋" w:eastAsia="仿宋"/>
          <w:color w:val="auto"/>
          <w:sz w:val="28"/>
          <w:szCs w:val="28"/>
          <w:highlight w:val="none"/>
        </w:rPr>
        <w:t>文件有异议的同时又参加投标以求侥幸成交或者为实现其他非法目的的行为。</w:t>
      </w:r>
    </w:p>
    <w:p w14:paraId="7F68A49F">
      <w:pPr>
        <w:spacing w:line="560" w:lineRule="exact"/>
        <w:ind w:firstLine="561"/>
        <w:rPr>
          <w:rFonts w:ascii="仿宋" w:hAnsi="仿宋" w:eastAsia="仿宋"/>
          <w:color w:val="auto"/>
          <w:sz w:val="28"/>
          <w:szCs w:val="28"/>
          <w:highlight w:val="none"/>
        </w:rPr>
      </w:pPr>
      <w:r>
        <w:rPr>
          <w:rFonts w:hint="eastAsia" w:ascii="仿宋" w:hAnsi="仿宋" w:eastAsia="仿宋"/>
          <w:color w:val="auto"/>
          <w:sz w:val="28"/>
          <w:szCs w:val="28"/>
          <w:highlight w:val="none"/>
        </w:rPr>
        <w:t>三、参加本次采购活动，不存在与单位负责人为同一人或者存在直接控股、管理关系的其他供应商参与同一合同项下的采购活动的行为。</w:t>
      </w:r>
    </w:p>
    <w:p w14:paraId="10B50782">
      <w:pPr>
        <w:spacing w:line="560" w:lineRule="exact"/>
        <w:ind w:firstLine="561"/>
        <w:rPr>
          <w:rFonts w:ascii="仿宋" w:hAnsi="仿宋" w:eastAsia="仿宋"/>
          <w:color w:val="auto"/>
          <w:sz w:val="28"/>
          <w:szCs w:val="28"/>
          <w:highlight w:val="none"/>
        </w:rPr>
      </w:pPr>
      <w:r>
        <w:rPr>
          <w:rFonts w:hint="eastAsia" w:ascii="仿宋" w:hAnsi="仿宋" w:eastAsia="仿宋"/>
          <w:color w:val="auto"/>
          <w:sz w:val="28"/>
          <w:szCs w:val="28"/>
          <w:highlight w:val="none"/>
        </w:rPr>
        <w:t>四、参加本次采购活动，不存在和其他供应商在同一合同项下的采购项目中，同时委托同一个自然人、同一家庭的人员、同一单位的人员作为代理人的行为。</w:t>
      </w:r>
    </w:p>
    <w:p w14:paraId="711A9995">
      <w:pPr>
        <w:spacing w:line="560" w:lineRule="exact"/>
        <w:ind w:firstLine="56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五、我公司</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（填写“有”或“没有”）《四川省政府采购当事人诚信管理办法》（川财采【2015】33号文件）和本</w:t>
      </w:r>
      <w:r>
        <w:rPr>
          <w:rFonts w:hint="default" w:ascii="Times New Roman" w:hAnsi="Times New Roman" w:eastAsia="仿宋" w:cs="Times New Roman"/>
          <w:color w:val="auto"/>
          <w:sz w:val="28"/>
          <w:szCs w:val="28"/>
          <w:highlight w:val="none"/>
          <w:lang w:eastAsia="zh-CN"/>
        </w:rPr>
        <w:t>磋商</w:t>
      </w:r>
      <w:r>
        <w:rPr>
          <w:rFonts w:hint="default" w:ascii="Times New Roman" w:hAnsi="Times New Roman" w:eastAsia="仿宋" w:cs="Times New Roman"/>
          <w:color w:val="auto"/>
          <w:sz w:val="28"/>
          <w:szCs w:val="28"/>
          <w:highlight w:val="none"/>
        </w:rPr>
        <w:t>文件规定的失信行为。</w:t>
      </w:r>
    </w:p>
    <w:p w14:paraId="1B5348B2">
      <w:pPr>
        <w:spacing w:line="560" w:lineRule="exact"/>
        <w:ind w:firstLine="56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六、响应文件中提供的能够给予</w:t>
      </w:r>
      <w:r>
        <w:rPr>
          <w:rFonts w:hint="default" w:ascii="Times New Roman" w:hAnsi="Times New Roman" w:eastAsia="仿宋" w:cs="Times New Roman"/>
          <w:color w:val="auto"/>
          <w:sz w:val="28"/>
          <w:szCs w:val="28"/>
          <w:highlight w:val="none"/>
          <w:lang w:val="en-US" w:eastAsia="zh-CN"/>
        </w:rPr>
        <w:t>贵</w:t>
      </w:r>
      <w:r>
        <w:rPr>
          <w:rFonts w:hint="default" w:ascii="Times New Roman" w:hAnsi="Times New Roman" w:eastAsia="仿宋" w:cs="Times New Roman"/>
          <w:color w:val="auto"/>
          <w:sz w:val="28"/>
          <w:szCs w:val="28"/>
          <w:highlight w:val="none"/>
        </w:rPr>
        <w:t>公司带来优惠、好处的任何材料资料和技术、服务、商务等响应承诺情况都是真实的、有效的、合法的。</w:t>
      </w:r>
    </w:p>
    <w:p w14:paraId="4F80FF93">
      <w:pPr>
        <w:spacing w:line="560" w:lineRule="exact"/>
        <w:ind w:firstLine="56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七、我公司</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有”或“没有”）被列入失信被执行人、重大税收违法案件当事人名单、政府采购严重违法失信行为记录名单（如供应商在参加采购活动前被禁止在一定期限内参加采购活动，期限届满的，可以参加采购活动），</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（填写“有”或“没有”）未依法缴纳税收和社会保障资金的不良记录，参加采购活动前三年内，在经营活动中</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（填写“有”或“没有”）重大违法记录（如供应商在参加采购活动前3年内因违法经营被禁止在一定期限内参加采购活动，期限届满的，可以参加采购活动）；我公司</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（填写“有”或“没有”）</w:t>
      </w:r>
      <w:r>
        <w:rPr>
          <w:rFonts w:hint="default" w:ascii="Times New Roman" w:hAnsi="Times New Roman" w:eastAsia="仿宋" w:cs="Times New Roman"/>
          <w:color w:val="auto"/>
          <w:sz w:val="28"/>
          <w:szCs w:val="28"/>
          <w:highlight w:val="none"/>
          <w:lang w:val="zh-CN"/>
        </w:rPr>
        <w:t>其他失信行为。</w:t>
      </w:r>
    </w:p>
    <w:p w14:paraId="2598E2A8">
      <w:pPr>
        <w:spacing w:line="560" w:lineRule="exact"/>
        <w:ind w:firstLine="56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八、我公司及其现任法定代表人/主要负责人</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（填写“具有”或“不具有”）行贿犯罪记录</w:t>
      </w:r>
      <w:r>
        <w:rPr>
          <w:rFonts w:hint="default" w:ascii="Times New Roman" w:hAnsi="Times New Roman" w:eastAsia="仿宋" w:cs="Times New Roman"/>
          <w:color w:val="auto"/>
          <w:sz w:val="28"/>
          <w:szCs w:val="28"/>
          <w:highlight w:val="none"/>
          <w:lang w:eastAsia="zh-CN"/>
        </w:rPr>
        <w:t>。</w:t>
      </w:r>
    </w:p>
    <w:p w14:paraId="7A086E49">
      <w:pPr>
        <w:spacing w:line="560" w:lineRule="exact"/>
        <w:ind w:firstLine="56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九</w:t>
      </w:r>
      <w:r>
        <w:rPr>
          <w:rFonts w:hint="default" w:ascii="Times New Roman" w:hAnsi="Times New Roman" w:eastAsia="仿宋" w:cs="Times New Roman"/>
          <w:color w:val="auto"/>
          <w:sz w:val="28"/>
          <w:szCs w:val="28"/>
          <w:highlight w:val="none"/>
        </w:rPr>
        <w:t>、如本项目评标过程中需要提供样品，则我公司提供的样品即为成交后将要提供的成交产品，我公司对提供样品的性能和质量负责，因样品存在缺陷或者不符合</w:t>
      </w:r>
      <w:r>
        <w:rPr>
          <w:rFonts w:hint="default" w:ascii="Times New Roman" w:hAnsi="Times New Roman" w:eastAsia="仿宋" w:cs="Times New Roman"/>
          <w:color w:val="auto"/>
          <w:sz w:val="28"/>
          <w:szCs w:val="28"/>
          <w:highlight w:val="none"/>
          <w:lang w:eastAsia="zh-CN"/>
        </w:rPr>
        <w:t>磋商</w:t>
      </w:r>
      <w:r>
        <w:rPr>
          <w:rFonts w:hint="default" w:ascii="Times New Roman" w:hAnsi="Times New Roman" w:eastAsia="仿宋" w:cs="Times New Roman"/>
          <w:color w:val="auto"/>
          <w:sz w:val="28"/>
          <w:szCs w:val="28"/>
          <w:highlight w:val="none"/>
        </w:rPr>
        <w:t>文件要求导致未能成交的，我公司愿意承担相应不利后果。</w:t>
      </w:r>
    </w:p>
    <w:p w14:paraId="6B4578C3">
      <w:pPr>
        <w:spacing w:line="560" w:lineRule="exact"/>
        <w:ind w:firstLine="561"/>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十、我公司电子文档无法读取的，我公司承诺在采购主体要求的时间前重新提交，电子文档与纸质响应文件不一致的，以纸质响应文件为准，无故不提交的，视为我公司自动放弃成交资格。</w:t>
      </w:r>
    </w:p>
    <w:p w14:paraId="311676AF">
      <w:pPr>
        <w:pStyle w:val="40"/>
        <w:ind w:firstLine="560" w:firstLineChars="200"/>
        <w:rPr>
          <w:rFonts w:hint="eastAsia" w:ascii="仿宋" w:hAnsi="仿宋" w:eastAsia="仿宋" w:cs="仿宋"/>
          <w:b/>
          <w:i w:val="0"/>
          <w:iCs w:val="0"/>
          <w:color w:val="auto"/>
          <w:sz w:val="28"/>
          <w:szCs w:val="28"/>
          <w:highlight w:val="none"/>
          <w:lang w:eastAsia="zh-CN"/>
        </w:rPr>
      </w:pPr>
      <w:r>
        <w:rPr>
          <w:rFonts w:hint="eastAsia" w:ascii="仿宋" w:hAnsi="仿宋" w:eastAsia="仿宋"/>
          <w:color w:val="auto"/>
          <w:sz w:val="28"/>
          <w:szCs w:val="28"/>
          <w:highlight w:val="none"/>
        </w:rPr>
        <w:t>本公司对上述承诺的内容事项真实性负责。如经查实上述承诺的内容事项存在虚假，我公司愿意接受以提供虚假材料谋取成交追究法律责任</w:t>
      </w:r>
    </w:p>
    <w:p w14:paraId="0164E3B5">
      <w:pPr>
        <w:widowControl/>
        <w:spacing w:before="100" w:beforeAutospacing="1"/>
        <w:jc w:val="center"/>
        <w:outlineLvl w:val="2"/>
        <w:rPr>
          <w:rFonts w:ascii="仿宋" w:hAnsi="仿宋" w:eastAsia="仿宋" w:cs="仿宋"/>
          <w:b/>
          <w:color w:val="auto"/>
          <w:sz w:val="30"/>
          <w:szCs w:val="30"/>
          <w:highlight w:val="none"/>
          <w:lang w:bidi="ar"/>
        </w:rPr>
      </w:pPr>
      <w:bookmarkStart w:id="196" w:name="_Toc1422"/>
      <w:r>
        <w:rPr>
          <w:rFonts w:hint="eastAsia" w:ascii="仿宋" w:hAnsi="仿宋" w:eastAsia="仿宋" w:cs="仿宋"/>
          <w:b/>
          <w:color w:val="auto"/>
          <w:sz w:val="30"/>
          <w:szCs w:val="30"/>
          <w:highlight w:val="none"/>
          <w:lang w:val="en-US" w:eastAsia="zh-CN"/>
        </w:rPr>
        <w:br w:type="page"/>
      </w:r>
      <w:r>
        <w:rPr>
          <w:rFonts w:hint="eastAsia" w:ascii="仿宋" w:hAnsi="仿宋" w:eastAsia="仿宋" w:cs="仿宋"/>
          <w:b/>
          <w:color w:val="auto"/>
          <w:sz w:val="30"/>
          <w:szCs w:val="30"/>
          <w:highlight w:val="none"/>
          <w:lang w:val="en-US" w:eastAsia="zh-CN"/>
        </w:rPr>
        <w:t>六</w:t>
      </w:r>
      <w:r>
        <w:rPr>
          <w:rFonts w:hint="eastAsia" w:ascii="仿宋" w:hAnsi="仿宋" w:eastAsia="仿宋" w:cs="仿宋"/>
          <w:b/>
          <w:color w:val="auto"/>
          <w:sz w:val="30"/>
          <w:szCs w:val="30"/>
          <w:highlight w:val="none"/>
        </w:rPr>
        <w:t>、其他材料</w:t>
      </w:r>
    </w:p>
    <w:p w14:paraId="4ED491C8">
      <w:pPr>
        <w:spacing w:line="560" w:lineRule="exact"/>
        <w:ind w:firstLine="562" w:firstLineChars="200"/>
        <w:rPr>
          <w:rFonts w:hint="eastAsia" w:ascii="仿宋" w:hAnsi="仿宋" w:eastAsia="仿宋" w:cs="仿宋"/>
          <w:b/>
          <w:color w:val="auto"/>
          <w:sz w:val="28"/>
          <w:szCs w:val="28"/>
          <w:highlight w:val="none"/>
        </w:rPr>
      </w:pPr>
    </w:p>
    <w:p w14:paraId="7280DCE5">
      <w:pPr>
        <w:spacing w:line="560"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供应商应按</w:t>
      </w:r>
      <w:r>
        <w:rPr>
          <w:rFonts w:hint="eastAsia" w:ascii="仿宋" w:hAnsi="仿宋" w:eastAsia="仿宋" w:cs="仿宋"/>
          <w:b/>
          <w:color w:val="auto"/>
          <w:sz w:val="28"/>
          <w:szCs w:val="28"/>
          <w:highlight w:val="none"/>
          <w:lang w:val="en-US" w:eastAsia="zh-CN"/>
        </w:rPr>
        <w:t>磋商</w:t>
      </w:r>
      <w:r>
        <w:rPr>
          <w:rFonts w:hint="eastAsia" w:ascii="仿宋" w:hAnsi="仿宋" w:eastAsia="仿宋" w:cs="仿宋"/>
          <w:b/>
          <w:color w:val="auto"/>
          <w:sz w:val="28"/>
          <w:szCs w:val="28"/>
          <w:highlight w:val="none"/>
        </w:rPr>
        <w:t>文件第三章相关要求提供其他佐证材料，有格式要求的从其要求，无格式要求的格式自拟。</w:t>
      </w:r>
    </w:p>
    <w:p w14:paraId="0F1CDE58">
      <w:pPr>
        <w:spacing w:line="360" w:lineRule="auto"/>
        <w:ind w:firstLine="560" w:firstLineChars="200"/>
        <w:rPr>
          <w:rFonts w:ascii="仿宋" w:hAnsi="仿宋" w:eastAsia="仿宋" w:cs="仿宋"/>
          <w:bCs/>
          <w:color w:val="auto"/>
          <w:sz w:val="28"/>
          <w:szCs w:val="28"/>
          <w:highlight w:val="none"/>
        </w:rPr>
      </w:pPr>
    </w:p>
    <w:p w14:paraId="5BFBEF35">
      <w:pPr>
        <w:keepNext/>
        <w:keepLines/>
        <w:pageBreakBefore w:val="0"/>
        <w:widowControl w:val="0"/>
        <w:kinsoku/>
        <w:wordWrap/>
        <w:overflowPunct/>
        <w:topLinePunct w:val="0"/>
        <w:autoSpaceDE/>
        <w:autoSpaceDN/>
        <w:bidi w:val="0"/>
        <w:adjustRightInd/>
        <w:snapToGrid/>
        <w:spacing w:line="416" w:lineRule="auto"/>
        <w:ind w:firstLine="560" w:firstLineChars="200"/>
        <w:textAlignment w:val="auto"/>
        <w:outlineLvl w:val="9"/>
        <w:rPr>
          <w:rFonts w:hint="default"/>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w:t>
      </w:r>
    </w:p>
    <w:p w14:paraId="17CA9612">
      <w:pPr>
        <w:widowControl/>
        <w:spacing w:before="100" w:beforeAutospacing="1"/>
        <w:ind w:firstLine="602" w:firstLineChars="200"/>
        <w:jc w:val="left"/>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bookmarkEnd w:id="196"/>
    <w:p w14:paraId="60BD16C0">
      <w:pPr>
        <w:pStyle w:val="3"/>
        <w:jc w:val="center"/>
        <w:rPr>
          <w:rFonts w:hint="eastAsia"/>
          <w:b w:val="0"/>
          <w:bCs w:val="0"/>
          <w:color w:val="auto"/>
          <w:highlight w:val="none"/>
          <w:u w:val="double"/>
        </w:rPr>
      </w:pPr>
      <w:r>
        <w:rPr>
          <w:rFonts w:hint="eastAsia"/>
          <w:b w:val="0"/>
          <w:bCs w:val="0"/>
          <w:color w:val="auto"/>
          <w:highlight w:val="none"/>
          <w:u w:val="double"/>
          <w:lang w:val="en-US" w:eastAsia="zh-CN"/>
        </w:rPr>
        <w:t>其他</w:t>
      </w:r>
      <w:r>
        <w:rPr>
          <w:rFonts w:hint="eastAsia"/>
          <w:b w:val="0"/>
          <w:bCs w:val="0"/>
          <w:color w:val="auto"/>
          <w:highlight w:val="none"/>
          <w:u w:val="double"/>
        </w:rPr>
        <w:t>响应文件部分</w:t>
      </w:r>
    </w:p>
    <w:p w14:paraId="18CD0751">
      <w:pPr>
        <w:numPr>
          <w:ilvl w:val="0"/>
          <w:numId w:val="4"/>
        </w:numPr>
        <w:spacing w:before="260" w:after="260"/>
        <w:jc w:val="center"/>
        <w:outlineLvl w:val="2"/>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报价函</w:t>
      </w:r>
    </w:p>
    <w:p w14:paraId="59FC5110">
      <w:pPr>
        <w:keepNext w:val="0"/>
        <w:keepLines w:val="0"/>
        <w:pageBreakBefore w:val="0"/>
        <w:widowControl w:val="0"/>
        <w:numPr>
          <w:ilvl w:val="0"/>
          <w:numId w:val="0"/>
        </w:numPr>
        <w:shd w:val="clear"/>
        <w:kinsoku/>
        <w:wordWrap/>
        <w:overflowPunct/>
        <w:topLinePunct w:val="0"/>
        <w:autoSpaceDE/>
        <w:autoSpaceDN/>
        <w:bidi w:val="0"/>
        <w:adjustRightInd/>
        <w:snapToGrid/>
        <w:spacing w:before="120" w:after="120"/>
        <w:jc w:val="center"/>
        <w:textAlignment w:val="auto"/>
        <w:outlineLvl w:val="3"/>
        <w:rPr>
          <w:color w:val="auto"/>
          <w:highlight w:val="none"/>
        </w:rPr>
      </w:pPr>
      <w:r>
        <w:rPr>
          <w:rFonts w:hint="eastAsia" w:ascii="仿宋" w:hAnsi="仿宋" w:eastAsia="仿宋" w:cs="仿宋"/>
          <w:b/>
          <w:color w:val="auto"/>
          <w:sz w:val="30"/>
          <w:szCs w:val="30"/>
          <w:highlight w:val="none"/>
          <w:lang w:val="en-US" w:eastAsia="zh-CN"/>
        </w:rPr>
        <w:t>{服务类}</w:t>
      </w:r>
    </w:p>
    <w:p w14:paraId="00661D7B">
      <w:pPr>
        <w:widowControl/>
        <w:spacing w:after="156" w:afterLines="50" w:line="560" w:lineRule="exact"/>
        <w:ind w:firstLine="281" w:firstLineChars="100"/>
        <w:jc w:val="left"/>
        <w:rPr>
          <w:rFonts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5BFDB6DB">
      <w:pPr>
        <w:keepNext w:val="0"/>
        <w:keepLines w:val="0"/>
        <w:pageBreakBefore w:val="0"/>
        <w:widowControl w:val="0"/>
        <w:kinsoku/>
        <w:wordWrap/>
        <w:overflowPunct/>
        <w:topLinePunct w:val="0"/>
        <w:autoSpaceDE/>
        <w:autoSpaceDN/>
        <w:bidi w:val="0"/>
        <w:snapToGrid/>
        <w:spacing w:line="560" w:lineRule="exact"/>
        <w:ind w:firstLine="560" w:firstLineChars="200"/>
        <w:jc w:val="left"/>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1.我方全面研究了“</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”项目磋商文件（项目编号：</w:t>
      </w:r>
      <w:r>
        <w:rPr>
          <w:rFonts w:hint="default" w:ascii="Times New Roman" w:hAnsi="Times New Roman" w:eastAsia="仿宋" w:cs="Times New Roman"/>
          <w:color w:val="auto"/>
          <w:sz w:val="28"/>
          <w:szCs w:val="28"/>
          <w:highlight w:val="none"/>
          <w:u w:val="single"/>
          <w:lang w:bidi="ar"/>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color w:val="auto"/>
          <w:sz w:val="28"/>
          <w:szCs w:val="28"/>
          <w:highlight w:val="none"/>
        </w:rPr>
        <w:t>），决定参加贵</w:t>
      </w:r>
      <w:r>
        <w:rPr>
          <w:rFonts w:hint="default" w:ascii="Times New Roman" w:hAnsi="Times New Roman" w:eastAsia="仿宋" w:cs="Times New Roman"/>
          <w:color w:val="auto"/>
          <w:sz w:val="28"/>
          <w:szCs w:val="28"/>
          <w:highlight w:val="none"/>
          <w:lang w:val="en-US" w:eastAsia="zh-CN"/>
        </w:rPr>
        <w:t>公司</w:t>
      </w:r>
      <w:r>
        <w:rPr>
          <w:rFonts w:hint="default" w:ascii="Times New Roman" w:hAnsi="Times New Roman" w:eastAsia="仿宋" w:cs="Times New Roman"/>
          <w:color w:val="auto"/>
          <w:sz w:val="28"/>
          <w:szCs w:val="28"/>
          <w:highlight w:val="none"/>
        </w:rPr>
        <w:t>组织的本项目磋商采购。</w:t>
      </w:r>
    </w:p>
    <w:p w14:paraId="2201C661">
      <w:pPr>
        <w:widowControl/>
        <w:ind w:firstLine="560" w:firstLineChars="200"/>
        <w:jc w:val="left"/>
        <w:outlineLvl w:val="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2.我方自愿按照磋商文件规定的各项要求向采购人提供所需</w:t>
      </w:r>
      <w:r>
        <w:rPr>
          <w:rFonts w:hint="default" w:ascii="Times New Roman" w:hAnsi="Times New Roman" w:eastAsia="仿宋" w:cs="Times New Roman"/>
          <w:color w:val="auto"/>
          <w:sz w:val="28"/>
          <w:szCs w:val="28"/>
          <w:highlight w:val="none"/>
          <w:lang w:val="en-US" w:eastAsia="zh-CN"/>
        </w:rPr>
        <w:t>服务</w:t>
      </w:r>
      <w:r>
        <w:rPr>
          <w:rFonts w:hint="default" w:ascii="Times New Roman" w:hAnsi="Times New Roman" w:eastAsia="仿宋" w:cs="Times New Roman"/>
          <w:color w:val="auto"/>
          <w:sz w:val="28"/>
          <w:szCs w:val="28"/>
          <w:highlight w:val="none"/>
        </w:rPr>
        <w:t>，总报价为</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Times New Roman" w:hAnsi="Times New Roman" w:eastAsia="仿宋" w:cs="Times New Roman"/>
          <w:color w:val="auto"/>
          <w:sz w:val="28"/>
          <w:szCs w:val="28"/>
          <w:highlight w:val="none"/>
          <w:lang w:val="en-US" w:eastAsia="zh-CN"/>
        </w:rPr>
        <w:t>元，其中包1基本审核费</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Times New Roman" w:hAnsi="Times New Roman" w:eastAsia="仿宋" w:cs="Times New Roman"/>
          <w:color w:val="auto"/>
          <w:sz w:val="28"/>
          <w:szCs w:val="28"/>
          <w:highlight w:val="none"/>
          <w:lang w:val="en-US" w:eastAsia="zh-CN"/>
        </w:rPr>
        <w:t>元，效益审核费</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Times New Roman" w:hAnsi="Times New Roman" w:eastAsia="仿宋" w:cs="Times New Roman"/>
          <w:color w:val="auto"/>
          <w:sz w:val="28"/>
          <w:szCs w:val="28"/>
          <w:highlight w:val="none"/>
          <w:lang w:val="en-US" w:eastAsia="zh-CN"/>
        </w:rPr>
        <w:t>元</w:t>
      </w:r>
      <w:r>
        <w:rPr>
          <w:rFonts w:hint="eastAsia" w:ascii="仿宋" w:hAnsi="仿宋" w:eastAsia="仿宋" w:cs="仿宋"/>
          <w:color w:val="auto"/>
          <w:sz w:val="28"/>
          <w:szCs w:val="28"/>
          <w:highlight w:val="none"/>
          <w:lang w:eastAsia="zh-CN"/>
        </w:rPr>
        <w:t>；</w:t>
      </w:r>
      <w:r>
        <w:rPr>
          <w:rFonts w:hint="eastAsia" w:ascii="Times New Roman" w:hAnsi="Times New Roman" w:eastAsia="仿宋" w:cs="Times New Roman"/>
          <w:color w:val="auto"/>
          <w:sz w:val="28"/>
          <w:szCs w:val="28"/>
          <w:highlight w:val="none"/>
          <w:lang w:val="en-US" w:eastAsia="zh-CN"/>
        </w:rPr>
        <w:t>包2基本审核费</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Times New Roman" w:hAnsi="Times New Roman" w:eastAsia="仿宋" w:cs="Times New Roman"/>
          <w:color w:val="auto"/>
          <w:sz w:val="28"/>
          <w:szCs w:val="28"/>
          <w:highlight w:val="none"/>
          <w:lang w:val="en-US" w:eastAsia="zh-CN"/>
        </w:rPr>
        <w:t>元，效益审核费</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Times New Roman" w:hAnsi="Times New Roman" w:eastAsia="仿宋" w:cs="Times New Roman"/>
          <w:color w:val="auto"/>
          <w:sz w:val="28"/>
          <w:szCs w:val="28"/>
          <w:highlight w:val="none"/>
          <w:lang w:val="en-US" w:eastAsia="zh-CN"/>
        </w:rPr>
        <w:t>元</w:t>
      </w:r>
      <w:r>
        <w:rPr>
          <w:rFonts w:hint="eastAsia" w:ascii="仿宋" w:hAnsi="仿宋" w:eastAsia="仿宋" w:cs="仿宋"/>
          <w:color w:val="auto"/>
          <w:sz w:val="28"/>
          <w:szCs w:val="28"/>
          <w:highlight w:val="none"/>
          <w:lang w:eastAsia="zh-CN"/>
        </w:rPr>
        <w:t>；</w:t>
      </w:r>
      <w:r>
        <w:rPr>
          <w:rFonts w:hint="default" w:ascii="Times New Roman" w:hAnsi="Times New Roman" w:eastAsia="仿宋" w:cs="Times New Roman"/>
          <w:color w:val="auto"/>
          <w:sz w:val="28"/>
          <w:szCs w:val="28"/>
          <w:highlight w:val="none"/>
          <w:u w:val="none"/>
          <w:lang w:val="en-US" w:eastAsia="zh-CN"/>
        </w:rPr>
        <w:t>服务时间为</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u w:val="single"/>
          <w:lang w:val="en-US" w:eastAsia="zh-CN"/>
        </w:rPr>
        <w:t>XX</w:t>
      </w:r>
      <w:r>
        <w:rPr>
          <w:rFonts w:hint="default" w:ascii="Times New Roman" w:hAnsi="Times New Roman" w:eastAsia="仿宋" w:cs="Times New Roman"/>
          <w:color w:val="auto"/>
          <w:sz w:val="28"/>
          <w:szCs w:val="28"/>
          <w:highlight w:val="none"/>
          <w:u w:val="none"/>
          <w:lang w:val="en-US" w:eastAsia="zh-CN"/>
        </w:rPr>
        <w:t>。</w:t>
      </w:r>
      <w:r>
        <w:rPr>
          <w:rFonts w:hint="default" w:ascii="Times New Roman" w:hAnsi="Times New Roman" w:eastAsia="仿宋" w:cs="Times New Roman"/>
          <w:color w:val="auto"/>
          <w:sz w:val="28"/>
          <w:szCs w:val="28"/>
          <w:highlight w:val="none"/>
        </w:rPr>
        <w:t xml:space="preserve"> </w:t>
      </w:r>
    </w:p>
    <w:p w14:paraId="3D72E069">
      <w:pPr>
        <w:keepNext w:val="0"/>
        <w:keepLines w:val="0"/>
        <w:pageBreakBefore w:val="0"/>
        <w:widowControl w:val="0"/>
        <w:kinsoku/>
        <w:wordWrap/>
        <w:overflowPunct/>
        <w:topLinePunct w:val="0"/>
        <w:autoSpaceDE/>
        <w:autoSpaceDN/>
        <w:bidi w:val="0"/>
        <w:snapToGrid/>
        <w:spacing w:line="560" w:lineRule="exact"/>
        <w:ind w:firstLine="560" w:firstLineChars="200"/>
        <w:jc w:val="left"/>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3.一旦我方成交，我方将严格履行采购合同规定的责任和义务。</w:t>
      </w:r>
    </w:p>
    <w:p w14:paraId="62AAD3DF">
      <w:pPr>
        <w:keepNext w:val="0"/>
        <w:keepLines w:val="0"/>
        <w:pageBreakBefore w:val="0"/>
        <w:widowControl w:val="0"/>
        <w:kinsoku/>
        <w:wordWrap/>
        <w:overflowPunct/>
        <w:topLinePunct w:val="0"/>
        <w:autoSpaceDE/>
        <w:autoSpaceDN/>
        <w:bidi w:val="0"/>
        <w:snapToGrid/>
        <w:spacing w:line="560" w:lineRule="exact"/>
        <w:ind w:firstLine="560" w:firstLineChars="200"/>
        <w:jc w:val="left"/>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4.我方同意本磋商文件依据《四川省采购当事人诚信管理办法》（川财采〔2015〕33号文件）对我方可能存在的失信行为进行惩戒。</w:t>
      </w:r>
    </w:p>
    <w:p w14:paraId="02F43621">
      <w:pPr>
        <w:keepNext w:val="0"/>
        <w:keepLines w:val="0"/>
        <w:pageBreakBefore w:val="0"/>
        <w:widowControl w:val="0"/>
        <w:kinsoku/>
        <w:wordWrap/>
        <w:overflowPunct/>
        <w:topLinePunct w:val="0"/>
        <w:autoSpaceDE/>
        <w:autoSpaceDN/>
        <w:bidi w:val="0"/>
        <w:snapToGrid/>
        <w:spacing w:line="560" w:lineRule="exact"/>
        <w:ind w:firstLine="560" w:firstLineChars="200"/>
        <w:jc w:val="left"/>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5.我方愿意提供贵</w:t>
      </w:r>
      <w:r>
        <w:rPr>
          <w:rFonts w:hint="default" w:ascii="Times New Roman" w:hAnsi="Times New Roman" w:eastAsia="仿宋" w:cs="Times New Roman"/>
          <w:color w:val="auto"/>
          <w:sz w:val="28"/>
          <w:szCs w:val="28"/>
          <w:highlight w:val="none"/>
          <w:lang w:val="en-US" w:eastAsia="zh-CN"/>
        </w:rPr>
        <w:t>公司</w:t>
      </w:r>
      <w:r>
        <w:rPr>
          <w:rFonts w:hint="default" w:ascii="Times New Roman" w:hAnsi="Times New Roman" w:eastAsia="仿宋" w:cs="Times New Roman"/>
          <w:color w:val="auto"/>
          <w:sz w:val="28"/>
          <w:szCs w:val="28"/>
          <w:highlight w:val="none"/>
        </w:rPr>
        <w:t>可能另外要求的，与磋商报价有关的文件资料，并保证我方已提供和将要提供的文件资料是真实、准确的。</w:t>
      </w:r>
    </w:p>
    <w:p w14:paraId="5FE8B995">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6.我方报价均真实有效，不存在低于成本的不正当竞争行为，并且不存在以低价谋取成交后提供不良产品或者不诚信履约情况。</w:t>
      </w:r>
    </w:p>
    <w:p w14:paraId="68CF176C">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7.评审委员会认为我方报价低于成本，我方将按照评审委员会要求积极配合提供相关证明材料，并接受评审委员会的评审认定。</w:t>
      </w:r>
    </w:p>
    <w:p w14:paraId="6E6F2AA7">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74549537">
      <w:pPr>
        <w:spacing w:before="260" w:after="260"/>
        <w:jc w:val="center"/>
        <w:outlineLvl w:val="2"/>
        <w:rPr>
          <w:rFonts w:hint="default" w:ascii="仿宋" w:hAnsi="仿宋" w:eastAsia="仿宋" w:cs="仿宋"/>
          <w:b/>
          <w:color w:val="auto"/>
          <w:sz w:val="30"/>
          <w:szCs w:val="30"/>
          <w:highlight w:val="none"/>
          <w:lang w:val="en-US"/>
        </w:rPr>
      </w:pPr>
      <w:r>
        <w:rPr>
          <w:rFonts w:hint="eastAsia" w:ascii="仿宋" w:hAnsi="仿宋" w:eastAsia="仿宋" w:cs="仿宋"/>
          <w:b/>
          <w:color w:val="auto"/>
          <w:sz w:val="30"/>
          <w:szCs w:val="30"/>
          <w:highlight w:val="none"/>
        </w:rPr>
        <w:t>二、</w:t>
      </w:r>
      <w:r>
        <w:rPr>
          <w:rFonts w:hint="eastAsia" w:ascii="仿宋" w:hAnsi="仿宋" w:eastAsia="仿宋" w:cs="仿宋"/>
          <w:b/>
          <w:color w:val="auto"/>
          <w:sz w:val="30"/>
          <w:szCs w:val="30"/>
          <w:highlight w:val="none"/>
          <w:lang w:val="en-US" w:eastAsia="zh-CN"/>
        </w:rPr>
        <w:t>报价明细表</w:t>
      </w:r>
    </w:p>
    <w:p w14:paraId="44EC9294">
      <w:pPr>
        <w:keepNext w:val="0"/>
        <w:keepLines w:val="0"/>
        <w:pageBreakBefore w:val="0"/>
        <w:widowControl w:val="0"/>
        <w:numPr>
          <w:ilvl w:val="0"/>
          <w:numId w:val="0"/>
        </w:numPr>
        <w:shd w:val="clear"/>
        <w:kinsoku/>
        <w:wordWrap/>
        <w:overflowPunct/>
        <w:topLinePunct w:val="0"/>
        <w:autoSpaceDE/>
        <w:autoSpaceDN/>
        <w:bidi w:val="0"/>
        <w:adjustRightInd/>
        <w:snapToGrid/>
        <w:spacing w:before="120" w:after="120"/>
        <w:jc w:val="center"/>
        <w:textAlignment w:val="auto"/>
        <w:outlineLvl w:val="3"/>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lang w:val="en-US" w:eastAsia="zh-CN"/>
        </w:rPr>
        <w:t>{服务类}</w:t>
      </w:r>
    </w:p>
    <w:tbl>
      <w:tblPr>
        <w:tblStyle w:val="33"/>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215"/>
        <w:gridCol w:w="1289"/>
        <w:gridCol w:w="1425"/>
        <w:gridCol w:w="930"/>
        <w:gridCol w:w="744"/>
        <w:gridCol w:w="1017"/>
        <w:gridCol w:w="786"/>
      </w:tblGrid>
      <w:tr w14:paraId="65B6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jc w:val="center"/>
        </w:trPr>
        <w:tc>
          <w:tcPr>
            <w:tcW w:w="1339" w:type="dxa"/>
            <w:vAlign w:val="center"/>
          </w:tcPr>
          <w:p w14:paraId="5A44CDB3">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服务</w:t>
            </w:r>
            <w:r>
              <w:rPr>
                <w:rFonts w:hint="eastAsia" w:ascii="仿宋" w:hAnsi="仿宋" w:eastAsia="仿宋" w:cs="仿宋"/>
                <w:b/>
                <w:bCs/>
                <w:color w:val="auto"/>
                <w:sz w:val="24"/>
                <w:szCs w:val="24"/>
                <w:highlight w:val="none"/>
              </w:rPr>
              <w:t>名称</w:t>
            </w:r>
          </w:p>
        </w:tc>
        <w:tc>
          <w:tcPr>
            <w:tcW w:w="1215" w:type="dxa"/>
            <w:vAlign w:val="center"/>
          </w:tcPr>
          <w:p w14:paraId="01B1646A">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服务范围</w:t>
            </w:r>
          </w:p>
        </w:tc>
        <w:tc>
          <w:tcPr>
            <w:tcW w:w="1289" w:type="dxa"/>
            <w:vAlign w:val="center"/>
          </w:tcPr>
          <w:p w14:paraId="7725FC9D">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服务要求</w:t>
            </w:r>
          </w:p>
        </w:tc>
        <w:tc>
          <w:tcPr>
            <w:tcW w:w="1425" w:type="dxa"/>
            <w:vAlign w:val="center"/>
          </w:tcPr>
          <w:p w14:paraId="482B6845">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服务时间</w:t>
            </w:r>
          </w:p>
        </w:tc>
        <w:tc>
          <w:tcPr>
            <w:tcW w:w="930" w:type="dxa"/>
            <w:vAlign w:val="center"/>
          </w:tcPr>
          <w:p w14:paraId="769B6BC1">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单价(元)</w:t>
            </w:r>
          </w:p>
        </w:tc>
        <w:tc>
          <w:tcPr>
            <w:tcW w:w="744" w:type="dxa"/>
            <w:vAlign w:val="center"/>
          </w:tcPr>
          <w:p w14:paraId="71829BD5">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数量 </w:t>
            </w:r>
          </w:p>
        </w:tc>
        <w:tc>
          <w:tcPr>
            <w:tcW w:w="1017" w:type="dxa"/>
            <w:vAlign w:val="center"/>
          </w:tcPr>
          <w:p w14:paraId="0F60813A">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总价(元)</w:t>
            </w:r>
          </w:p>
        </w:tc>
        <w:tc>
          <w:tcPr>
            <w:tcW w:w="786" w:type="dxa"/>
            <w:vAlign w:val="center"/>
          </w:tcPr>
          <w:p w14:paraId="40E83B65">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备注</w:t>
            </w:r>
          </w:p>
        </w:tc>
      </w:tr>
      <w:tr w14:paraId="4203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39" w:type="dxa"/>
            <w:vAlign w:val="center"/>
          </w:tcPr>
          <w:p w14:paraId="2ED31578">
            <w:pPr>
              <w:widowControl/>
              <w:jc w:val="center"/>
              <w:textAlignment w:val="center"/>
              <w:rPr>
                <w:rFonts w:hint="eastAsia" w:ascii="仿宋" w:hAnsi="仿宋" w:eastAsia="仿宋" w:cs="仿宋"/>
                <w:color w:val="auto"/>
                <w:sz w:val="24"/>
                <w:szCs w:val="24"/>
                <w:highlight w:val="none"/>
              </w:rPr>
            </w:pPr>
          </w:p>
        </w:tc>
        <w:tc>
          <w:tcPr>
            <w:tcW w:w="1215" w:type="dxa"/>
            <w:vAlign w:val="center"/>
          </w:tcPr>
          <w:p w14:paraId="3E1B9F3D">
            <w:pPr>
              <w:snapToGrid w:val="0"/>
              <w:spacing w:line="400" w:lineRule="exact"/>
              <w:jc w:val="center"/>
              <w:rPr>
                <w:rFonts w:hint="eastAsia" w:ascii="仿宋" w:hAnsi="仿宋" w:eastAsia="仿宋" w:cs="仿宋"/>
                <w:color w:val="auto"/>
                <w:sz w:val="24"/>
                <w:szCs w:val="24"/>
                <w:highlight w:val="none"/>
              </w:rPr>
            </w:pPr>
          </w:p>
        </w:tc>
        <w:tc>
          <w:tcPr>
            <w:tcW w:w="1289" w:type="dxa"/>
            <w:vAlign w:val="center"/>
          </w:tcPr>
          <w:p w14:paraId="263F0018">
            <w:pPr>
              <w:snapToGrid w:val="0"/>
              <w:spacing w:line="400" w:lineRule="exact"/>
              <w:jc w:val="center"/>
              <w:rPr>
                <w:rFonts w:hint="eastAsia" w:ascii="仿宋" w:hAnsi="仿宋" w:eastAsia="仿宋" w:cs="仿宋"/>
                <w:color w:val="auto"/>
                <w:sz w:val="24"/>
                <w:szCs w:val="24"/>
                <w:highlight w:val="none"/>
              </w:rPr>
            </w:pPr>
          </w:p>
        </w:tc>
        <w:tc>
          <w:tcPr>
            <w:tcW w:w="1425" w:type="dxa"/>
            <w:vAlign w:val="center"/>
          </w:tcPr>
          <w:p w14:paraId="61A2987D">
            <w:pPr>
              <w:snapToGrid w:val="0"/>
              <w:spacing w:line="400" w:lineRule="exact"/>
              <w:jc w:val="center"/>
              <w:rPr>
                <w:rFonts w:hint="eastAsia" w:ascii="仿宋" w:hAnsi="仿宋" w:eastAsia="仿宋" w:cs="仿宋"/>
                <w:color w:val="auto"/>
                <w:sz w:val="24"/>
                <w:szCs w:val="24"/>
                <w:highlight w:val="none"/>
              </w:rPr>
            </w:pPr>
          </w:p>
        </w:tc>
        <w:tc>
          <w:tcPr>
            <w:tcW w:w="930" w:type="dxa"/>
            <w:vAlign w:val="center"/>
          </w:tcPr>
          <w:p w14:paraId="75E696E0">
            <w:pPr>
              <w:snapToGrid w:val="0"/>
              <w:spacing w:line="400" w:lineRule="exact"/>
              <w:jc w:val="center"/>
              <w:rPr>
                <w:rFonts w:hint="eastAsia" w:ascii="仿宋" w:hAnsi="仿宋" w:eastAsia="仿宋" w:cs="仿宋"/>
                <w:color w:val="auto"/>
                <w:sz w:val="24"/>
                <w:szCs w:val="24"/>
                <w:highlight w:val="none"/>
              </w:rPr>
            </w:pPr>
          </w:p>
        </w:tc>
        <w:tc>
          <w:tcPr>
            <w:tcW w:w="744" w:type="dxa"/>
            <w:vAlign w:val="center"/>
          </w:tcPr>
          <w:p w14:paraId="3A2BB32E">
            <w:pPr>
              <w:snapToGrid w:val="0"/>
              <w:spacing w:line="400" w:lineRule="exact"/>
              <w:jc w:val="center"/>
              <w:rPr>
                <w:rFonts w:hint="eastAsia" w:ascii="仿宋" w:hAnsi="仿宋" w:eastAsia="仿宋" w:cs="仿宋"/>
                <w:color w:val="auto"/>
                <w:sz w:val="24"/>
                <w:szCs w:val="24"/>
                <w:highlight w:val="none"/>
              </w:rPr>
            </w:pPr>
          </w:p>
        </w:tc>
        <w:tc>
          <w:tcPr>
            <w:tcW w:w="1017" w:type="dxa"/>
            <w:vAlign w:val="center"/>
          </w:tcPr>
          <w:p w14:paraId="3FAF8025">
            <w:pPr>
              <w:snapToGrid w:val="0"/>
              <w:spacing w:line="400" w:lineRule="exact"/>
              <w:jc w:val="center"/>
              <w:rPr>
                <w:rFonts w:hint="eastAsia" w:ascii="仿宋" w:hAnsi="仿宋" w:eastAsia="仿宋" w:cs="仿宋"/>
                <w:color w:val="auto"/>
                <w:sz w:val="24"/>
                <w:szCs w:val="24"/>
                <w:highlight w:val="none"/>
              </w:rPr>
            </w:pPr>
          </w:p>
        </w:tc>
        <w:tc>
          <w:tcPr>
            <w:tcW w:w="786" w:type="dxa"/>
            <w:vAlign w:val="center"/>
          </w:tcPr>
          <w:p w14:paraId="60D54A1B">
            <w:pPr>
              <w:snapToGrid w:val="0"/>
              <w:spacing w:line="400" w:lineRule="exact"/>
              <w:jc w:val="center"/>
              <w:rPr>
                <w:rFonts w:hint="eastAsia" w:ascii="仿宋" w:hAnsi="仿宋" w:eastAsia="仿宋" w:cs="仿宋"/>
                <w:color w:val="auto"/>
                <w:sz w:val="24"/>
                <w:szCs w:val="24"/>
                <w:highlight w:val="none"/>
              </w:rPr>
            </w:pPr>
          </w:p>
        </w:tc>
      </w:tr>
    </w:tbl>
    <w:p w14:paraId="66585A9B">
      <w:pPr>
        <w:pStyle w:val="11"/>
        <w:rPr>
          <w:color w:val="auto"/>
          <w:highlight w:val="none"/>
        </w:rPr>
      </w:pPr>
    </w:p>
    <w:p w14:paraId="62A6B27D">
      <w:pPr>
        <w:rPr>
          <w:color w:val="auto"/>
          <w:highlight w:val="none"/>
        </w:rPr>
        <w:sectPr>
          <w:headerReference r:id="rId7" w:type="default"/>
          <w:footerReference r:id="rId9" w:type="default"/>
          <w:headerReference r:id="rId8" w:type="even"/>
          <w:footerReference r:id="rId10" w:type="even"/>
          <w:type w:val="continuous"/>
          <w:pgSz w:w="11849" w:h="16781"/>
          <w:pgMar w:top="850" w:right="1219" w:bottom="850" w:left="1276" w:header="737" w:footer="567" w:gutter="0"/>
          <w:pgNumType w:fmt="decimal"/>
          <w:cols w:space="0" w:num="1"/>
          <w:rtlGutter w:val="0"/>
          <w:docGrid w:type="lines" w:linePitch="322" w:charSpace="0"/>
        </w:sectPr>
      </w:pPr>
    </w:p>
    <w:p w14:paraId="05F86F0D">
      <w:pPr>
        <w:spacing w:before="260" w:after="260"/>
        <w:jc w:val="center"/>
        <w:outlineLvl w:val="2"/>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三、</w:t>
      </w:r>
      <w:r>
        <w:rPr>
          <w:rFonts w:hint="eastAsia" w:ascii="仿宋" w:hAnsi="仿宋" w:eastAsia="仿宋" w:cs="仿宋"/>
          <w:b/>
          <w:color w:val="auto"/>
          <w:sz w:val="30"/>
          <w:szCs w:val="30"/>
          <w:highlight w:val="none"/>
          <w:lang w:val="en-US" w:eastAsia="zh-CN"/>
        </w:rPr>
        <w:t>响应表</w:t>
      </w:r>
    </w:p>
    <w:p w14:paraId="63C7EF0A">
      <w:pPr>
        <w:keepNext w:val="0"/>
        <w:keepLines w:val="0"/>
        <w:pageBreakBefore w:val="0"/>
        <w:widowControl w:val="0"/>
        <w:numPr>
          <w:ilvl w:val="0"/>
          <w:numId w:val="0"/>
        </w:numPr>
        <w:shd w:val="clear"/>
        <w:kinsoku/>
        <w:wordWrap/>
        <w:overflowPunct/>
        <w:topLinePunct w:val="0"/>
        <w:autoSpaceDE/>
        <w:autoSpaceDN/>
        <w:bidi w:val="0"/>
        <w:adjustRightInd/>
        <w:snapToGrid/>
        <w:spacing w:before="120" w:after="120"/>
        <w:ind w:leftChars="0"/>
        <w:jc w:val="center"/>
        <w:textAlignment w:val="auto"/>
        <w:outlineLvl w:val="3"/>
        <w:rPr>
          <w:rFonts w:hint="eastAsia" w:ascii="仿宋" w:hAnsi="仿宋" w:eastAsia="仿宋"/>
          <w:b/>
          <w:color w:val="auto"/>
          <w:sz w:val="30"/>
          <w:szCs w:val="30"/>
          <w:highlight w:val="none"/>
          <w:lang w:val="en-US" w:eastAsia="zh-CN"/>
        </w:rPr>
      </w:pPr>
      <w:r>
        <w:rPr>
          <w:rFonts w:hint="eastAsia" w:ascii="仿宋" w:hAnsi="仿宋" w:eastAsia="仿宋" w:cs="仿宋"/>
          <w:b/>
          <w:color w:val="auto"/>
          <w:sz w:val="30"/>
          <w:szCs w:val="30"/>
          <w:highlight w:val="none"/>
          <w:lang w:val="en-US" w:eastAsia="zh-CN"/>
        </w:rPr>
        <w:t>{服务类}-</w:t>
      </w:r>
      <w:r>
        <w:rPr>
          <w:rFonts w:hint="eastAsia" w:ascii="仿宋" w:hAnsi="仿宋" w:eastAsia="仿宋"/>
          <w:b/>
          <w:color w:val="auto"/>
          <w:sz w:val="30"/>
          <w:szCs w:val="30"/>
          <w:highlight w:val="none"/>
          <w:lang w:val="en-US" w:eastAsia="zh-CN"/>
        </w:rPr>
        <w:t>服务应答表</w:t>
      </w:r>
    </w:p>
    <w:tbl>
      <w:tblPr>
        <w:tblStyle w:val="33"/>
        <w:tblW w:w="9146" w:type="dxa"/>
        <w:jc w:val="center"/>
        <w:tblLayout w:type="fixed"/>
        <w:tblCellMar>
          <w:top w:w="0" w:type="dxa"/>
          <w:left w:w="108" w:type="dxa"/>
          <w:bottom w:w="0" w:type="dxa"/>
          <w:right w:w="108" w:type="dxa"/>
        </w:tblCellMar>
      </w:tblPr>
      <w:tblGrid>
        <w:gridCol w:w="927"/>
        <w:gridCol w:w="4108"/>
        <w:gridCol w:w="2693"/>
        <w:gridCol w:w="1418"/>
      </w:tblGrid>
      <w:tr w14:paraId="2F87D071">
        <w:tblPrEx>
          <w:tblCellMar>
            <w:top w:w="0" w:type="dxa"/>
            <w:left w:w="108" w:type="dxa"/>
            <w:bottom w:w="0" w:type="dxa"/>
            <w:right w:w="108" w:type="dxa"/>
          </w:tblCellMar>
        </w:tblPrEx>
        <w:trPr>
          <w:trHeight w:val="606"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1810B23">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4108" w:type="dxa"/>
            <w:tcBorders>
              <w:top w:val="single" w:color="auto" w:sz="4" w:space="0"/>
              <w:left w:val="nil"/>
              <w:bottom w:val="single" w:color="auto" w:sz="4" w:space="0"/>
              <w:right w:val="single" w:color="auto" w:sz="4" w:space="0"/>
            </w:tcBorders>
            <w:vAlign w:val="center"/>
          </w:tcPr>
          <w:p w14:paraId="566843B3">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磋商</w:t>
            </w:r>
            <w:r>
              <w:rPr>
                <w:rFonts w:hint="eastAsia" w:ascii="仿宋" w:hAnsi="仿宋" w:eastAsia="仿宋" w:cs="仿宋"/>
                <w:b/>
                <w:bCs/>
                <w:color w:val="auto"/>
                <w:sz w:val="24"/>
                <w:highlight w:val="none"/>
              </w:rPr>
              <w:t>文件要求</w:t>
            </w:r>
          </w:p>
        </w:tc>
        <w:tc>
          <w:tcPr>
            <w:tcW w:w="2693" w:type="dxa"/>
            <w:tcBorders>
              <w:top w:val="single" w:color="auto" w:sz="4" w:space="0"/>
              <w:left w:val="nil"/>
              <w:bottom w:val="single" w:color="auto" w:sz="4" w:space="0"/>
              <w:right w:val="single" w:color="auto" w:sz="4" w:space="0"/>
            </w:tcBorders>
            <w:vAlign w:val="center"/>
          </w:tcPr>
          <w:p w14:paraId="51337DB7">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响应</w:t>
            </w:r>
            <w:r>
              <w:rPr>
                <w:rFonts w:hint="eastAsia" w:ascii="仿宋" w:hAnsi="仿宋" w:eastAsia="仿宋" w:cs="仿宋"/>
                <w:b/>
                <w:bCs/>
                <w:color w:val="auto"/>
                <w:sz w:val="24"/>
                <w:highlight w:val="none"/>
              </w:rPr>
              <w:t>应答</w:t>
            </w:r>
          </w:p>
        </w:tc>
        <w:tc>
          <w:tcPr>
            <w:tcW w:w="1418" w:type="dxa"/>
            <w:tcBorders>
              <w:top w:val="single" w:color="auto" w:sz="4" w:space="0"/>
              <w:left w:val="nil"/>
              <w:bottom w:val="single" w:color="auto" w:sz="4" w:space="0"/>
              <w:right w:val="single" w:color="auto" w:sz="4" w:space="0"/>
            </w:tcBorders>
            <w:vAlign w:val="center"/>
          </w:tcPr>
          <w:p w14:paraId="41D8B399">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偏离情况</w:t>
            </w:r>
          </w:p>
        </w:tc>
      </w:tr>
      <w:tr w14:paraId="408B2A7A">
        <w:tblPrEx>
          <w:tblCellMar>
            <w:top w:w="0" w:type="dxa"/>
            <w:left w:w="108" w:type="dxa"/>
            <w:bottom w:w="0" w:type="dxa"/>
            <w:right w:w="108" w:type="dxa"/>
          </w:tblCellMar>
        </w:tblPrEx>
        <w:trPr>
          <w:trHeight w:val="66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2F2F13">
            <w:pP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108" w:type="dxa"/>
            <w:tcBorders>
              <w:top w:val="single" w:color="auto" w:sz="4" w:space="0"/>
              <w:left w:val="nil"/>
              <w:bottom w:val="single" w:color="auto" w:sz="4" w:space="0"/>
              <w:right w:val="single" w:color="auto" w:sz="4" w:space="0"/>
            </w:tcBorders>
            <w:vAlign w:val="center"/>
          </w:tcPr>
          <w:p w14:paraId="48C331F3">
            <w:pPr>
              <w:spacing w:line="360" w:lineRule="auto"/>
              <w:ind w:left="-34" w:leftChars="-30" w:hanging="69" w:hangingChars="20"/>
              <w:jc w:val="left"/>
              <w:rPr>
                <w:rFonts w:ascii="仿宋" w:hAnsi="仿宋" w:eastAsia="仿宋" w:cs="仿宋"/>
                <w:b/>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75C3D287">
            <w:pPr>
              <w:ind w:left="285" w:hanging="454" w:hangingChars="132"/>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1C01BBDF">
            <w:pPr>
              <w:ind w:left="285" w:hanging="454" w:hangingChars="132"/>
              <w:rPr>
                <w:rFonts w:ascii="仿宋" w:hAnsi="仿宋" w:eastAsia="仿宋" w:cs="仿宋"/>
                <w:color w:val="auto"/>
                <w:szCs w:val="21"/>
                <w:highlight w:val="none"/>
              </w:rPr>
            </w:pPr>
          </w:p>
        </w:tc>
      </w:tr>
      <w:tr w14:paraId="535BAB46">
        <w:tblPrEx>
          <w:tblCellMar>
            <w:top w:w="0" w:type="dxa"/>
            <w:left w:w="108" w:type="dxa"/>
            <w:bottom w:w="0" w:type="dxa"/>
            <w:right w:w="108" w:type="dxa"/>
          </w:tblCellMar>
        </w:tblPrEx>
        <w:trPr>
          <w:trHeight w:val="66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35FD2EA9">
            <w:pP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108" w:type="dxa"/>
            <w:tcBorders>
              <w:top w:val="single" w:color="auto" w:sz="4" w:space="0"/>
              <w:left w:val="nil"/>
              <w:bottom w:val="single" w:color="auto" w:sz="4" w:space="0"/>
              <w:right w:val="single" w:color="auto" w:sz="4" w:space="0"/>
            </w:tcBorders>
            <w:vAlign w:val="center"/>
          </w:tcPr>
          <w:p w14:paraId="0135DB9C">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3524A812">
            <w:pPr>
              <w:ind w:left="285" w:hanging="454" w:hangingChars="132"/>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2583755B">
            <w:pPr>
              <w:ind w:left="285" w:hanging="454" w:hangingChars="132"/>
              <w:rPr>
                <w:rFonts w:ascii="仿宋" w:hAnsi="仿宋" w:eastAsia="仿宋" w:cs="仿宋"/>
                <w:color w:val="auto"/>
                <w:szCs w:val="21"/>
                <w:highlight w:val="none"/>
              </w:rPr>
            </w:pPr>
          </w:p>
        </w:tc>
      </w:tr>
      <w:tr w14:paraId="62433C9F">
        <w:tblPrEx>
          <w:tblCellMar>
            <w:top w:w="0" w:type="dxa"/>
            <w:left w:w="108" w:type="dxa"/>
            <w:bottom w:w="0" w:type="dxa"/>
            <w:right w:w="108" w:type="dxa"/>
          </w:tblCellMar>
        </w:tblPrEx>
        <w:trPr>
          <w:trHeight w:val="59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586619E2">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p>
        </w:tc>
        <w:tc>
          <w:tcPr>
            <w:tcW w:w="4108" w:type="dxa"/>
            <w:tcBorders>
              <w:top w:val="single" w:color="auto" w:sz="4" w:space="0"/>
              <w:left w:val="nil"/>
              <w:bottom w:val="single" w:color="auto" w:sz="4" w:space="0"/>
              <w:right w:val="single" w:color="auto" w:sz="4" w:space="0"/>
            </w:tcBorders>
            <w:vAlign w:val="center"/>
          </w:tcPr>
          <w:p w14:paraId="31C7BE34">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3219D6F3">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01B78D08">
            <w:pPr>
              <w:rPr>
                <w:rFonts w:ascii="仿宋" w:hAnsi="仿宋" w:eastAsia="仿宋" w:cs="仿宋"/>
                <w:color w:val="auto"/>
                <w:szCs w:val="21"/>
                <w:highlight w:val="none"/>
              </w:rPr>
            </w:pPr>
          </w:p>
        </w:tc>
      </w:tr>
    </w:tbl>
    <w:p w14:paraId="063637F7">
      <w:pPr>
        <w:shd w:val="clear"/>
        <w:spacing w:line="560" w:lineRule="exact"/>
        <w:ind w:firstLine="490"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w:t>
      </w:r>
    </w:p>
    <w:p w14:paraId="3D01F7F4">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1、供应商必须据实填写，不得虚假响应，虚假响应的，其响应文件无效并按规定追究其相关责任（具体按磋商文件</w:t>
      </w:r>
      <w:r>
        <w:rPr>
          <w:rFonts w:hint="eastAsia" w:ascii="仿宋" w:hAnsi="仿宋" w:eastAsia="仿宋" w:cs="仿宋"/>
          <w:b/>
          <w:bCs/>
          <w:color w:val="auto"/>
          <w:sz w:val="24"/>
          <w:szCs w:val="24"/>
          <w:highlight w:val="none"/>
          <w:lang w:val="en-US" w:eastAsia="zh-CN"/>
        </w:rPr>
        <w:t>第五章</w:t>
      </w:r>
      <w:r>
        <w:rPr>
          <w:rFonts w:hint="eastAsia" w:ascii="仿宋" w:hAnsi="仿宋" w:eastAsia="仿宋" w:cs="仿宋"/>
          <w:color w:val="auto"/>
          <w:sz w:val="24"/>
          <w:highlight w:val="none"/>
          <w:lang w:val="en-US" w:eastAsia="zh-CN"/>
        </w:rPr>
        <w:t>相应内容</w:t>
      </w:r>
      <w:r>
        <w:rPr>
          <w:rFonts w:hint="eastAsia" w:ascii="仿宋" w:hAnsi="仿宋" w:eastAsia="仿宋" w:cs="仿宋"/>
          <w:color w:val="auto"/>
          <w:sz w:val="24"/>
          <w:szCs w:val="24"/>
          <w:highlight w:val="none"/>
          <w:lang w:val="en-US" w:eastAsia="zh-CN"/>
        </w:rPr>
        <w:t>对应填写）。</w:t>
      </w:r>
    </w:p>
    <w:p w14:paraId="03726BFF">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2、响应应答栏填响应或详细说明。</w:t>
      </w:r>
    </w:p>
    <w:p w14:paraId="187065C9">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3、“偏离情况”栏应当填写“正偏离、无偏离、负偏离”。</w:t>
      </w:r>
    </w:p>
    <w:p w14:paraId="533478A7">
      <w:pPr>
        <w:spacing w:before="260" w:after="260"/>
        <w:jc w:val="center"/>
        <w:outlineLvl w:val="2"/>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br w:type="page"/>
      </w:r>
      <w:r>
        <w:rPr>
          <w:rFonts w:hint="eastAsia" w:ascii="仿宋" w:hAnsi="仿宋" w:eastAsia="仿宋" w:cs="仿宋"/>
          <w:b/>
          <w:color w:val="auto"/>
          <w:sz w:val="30"/>
          <w:szCs w:val="30"/>
          <w:highlight w:val="none"/>
        </w:rPr>
        <w:t>四、商务应答表</w:t>
      </w:r>
    </w:p>
    <w:tbl>
      <w:tblPr>
        <w:tblStyle w:val="33"/>
        <w:tblW w:w="9146" w:type="dxa"/>
        <w:jc w:val="center"/>
        <w:tblLayout w:type="fixed"/>
        <w:tblCellMar>
          <w:top w:w="0" w:type="dxa"/>
          <w:left w:w="108" w:type="dxa"/>
          <w:bottom w:w="0" w:type="dxa"/>
          <w:right w:w="108" w:type="dxa"/>
        </w:tblCellMar>
      </w:tblPr>
      <w:tblGrid>
        <w:gridCol w:w="927"/>
        <w:gridCol w:w="4108"/>
        <w:gridCol w:w="2693"/>
        <w:gridCol w:w="1418"/>
      </w:tblGrid>
      <w:tr w14:paraId="37D07428">
        <w:tblPrEx>
          <w:tblCellMar>
            <w:top w:w="0" w:type="dxa"/>
            <w:left w:w="108" w:type="dxa"/>
            <w:bottom w:w="0" w:type="dxa"/>
            <w:right w:w="108" w:type="dxa"/>
          </w:tblCellMar>
        </w:tblPrEx>
        <w:trPr>
          <w:trHeight w:val="606"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6AE2A5AB">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bidi="ar"/>
              </w:rPr>
              <w:t>序号</w:t>
            </w:r>
          </w:p>
        </w:tc>
        <w:tc>
          <w:tcPr>
            <w:tcW w:w="4108" w:type="dxa"/>
            <w:tcBorders>
              <w:top w:val="single" w:color="auto" w:sz="4" w:space="0"/>
              <w:left w:val="nil"/>
              <w:bottom w:val="single" w:color="auto" w:sz="4" w:space="0"/>
              <w:right w:val="single" w:color="auto" w:sz="4" w:space="0"/>
            </w:tcBorders>
            <w:vAlign w:val="center"/>
          </w:tcPr>
          <w:p w14:paraId="6D7865FF">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bidi="ar"/>
              </w:rPr>
              <w:t>磋商</w:t>
            </w:r>
            <w:r>
              <w:rPr>
                <w:rFonts w:hint="eastAsia" w:ascii="仿宋" w:hAnsi="仿宋" w:eastAsia="仿宋" w:cs="仿宋"/>
                <w:b/>
                <w:bCs/>
                <w:color w:val="auto"/>
                <w:sz w:val="24"/>
                <w:highlight w:val="none"/>
                <w:lang w:bidi="ar"/>
              </w:rPr>
              <w:t>文件要求</w:t>
            </w:r>
          </w:p>
        </w:tc>
        <w:tc>
          <w:tcPr>
            <w:tcW w:w="2693" w:type="dxa"/>
            <w:tcBorders>
              <w:top w:val="single" w:color="auto" w:sz="4" w:space="0"/>
              <w:left w:val="nil"/>
              <w:bottom w:val="single" w:color="auto" w:sz="4" w:space="0"/>
              <w:right w:val="single" w:color="auto" w:sz="4" w:space="0"/>
            </w:tcBorders>
            <w:vAlign w:val="center"/>
          </w:tcPr>
          <w:p w14:paraId="13A27F90">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bidi="ar"/>
              </w:rPr>
              <w:t>响应应答</w:t>
            </w:r>
          </w:p>
        </w:tc>
        <w:tc>
          <w:tcPr>
            <w:tcW w:w="1418" w:type="dxa"/>
            <w:tcBorders>
              <w:top w:val="single" w:color="auto" w:sz="4" w:space="0"/>
              <w:left w:val="nil"/>
              <w:bottom w:val="single" w:color="auto" w:sz="4" w:space="0"/>
              <w:right w:val="single" w:color="auto" w:sz="4" w:space="0"/>
            </w:tcBorders>
            <w:vAlign w:val="center"/>
          </w:tcPr>
          <w:p w14:paraId="0DB7DD49">
            <w:pPr>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lang w:bidi="ar"/>
              </w:rPr>
              <w:t>偏离情况</w:t>
            </w:r>
          </w:p>
        </w:tc>
      </w:tr>
      <w:tr w14:paraId="35F560C8">
        <w:tblPrEx>
          <w:tblCellMar>
            <w:top w:w="0" w:type="dxa"/>
            <w:left w:w="108" w:type="dxa"/>
            <w:bottom w:w="0" w:type="dxa"/>
            <w:right w:w="108" w:type="dxa"/>
          </w:tblCellMar>
        </w:tblPrEx>
        <w:trPr>
          <w:trHeight w:val="66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43CCE91">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1</w:t>
            </w:r>
          </w:p>
        </w:tc>
        <w:tc>
          <w:tcPr>
            <w:tcW w:w="4108" w:type="dxa"/>
            <w:tcBorders>
              <w:top w:val="single" w:color="auto" w:sz="4" w:space="0"/>
              <w:left w:val="nil"/>
              <w:bottom w:val="single" w:color="auto" w:sz="4" w:space="0"/>
              <w:right w:val="single" w:color="auto" w:sz="4" w:space="0"/>
            </w:tcBorders>
            <w:vAlign w:val="center"/>
          </w:tcPr>
          <w:p w14:paraId="6868D13D">
            <w:pPr>
              <w:spacing w:line="360" w:lineRule="auto"/>
              <w:ind w:left="-34" w:leftChars="-30" w:hanging="69" w:hangingChars="20"/>
              <w:jc w:val="left"/>
              <w:rPr>
                <w:rFonts w:ascii="仿宋" w:hAnsi="仿宋" w:eastAsia="仿宋" w:cs="仿宋"/>
                <w:b/>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38690A19">
            <w:pPr>
              <w:ind w:left="285" w:hanging="454" w:hangingChars="132"/>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169B8BB2">
            <w:pPr>
              <w:ind w:left="285" w:hanging="454" w:hangingChars="132"/>
              <w:rPr>
                <w:rFonts w:ascii="仿宋" w:hAnsi="仿宋" w:eastAsia="仿宋" w:cs="仿宋"/>
                <w:color w:val="auto"/>
                <w:szCs w:val="21"/>
                <w:highlight w:val="none"/>
              </w:rPr>
            </w:pPr>
          </w:p>
        </w:tc>
      </w:tr>
      <w:tr w14:paraId="5D39DA0F">
        <w:tblPrEx>
          <w:tblCellMar>
            <w:top w:w="0" w:type="dxa"/>
            <w:left w:w="108" w:type="dxa"/>
            <w:bottom w:w="0" w:type="dxa"/>
            <w:right w:w="108" w:type="dxa"/>
          </w:tblCellMar>
        </w:tblPrEx>
        <w:trPr>
          <w:trHeight w:val="66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ECBFCA8">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2</w:t>
            </w:r>
          </w:p>
        </w:tc>
        <w:tc>
          <w:tcPr>
            <w:tcW w:w="4108" w:type="dxa"/>
            <w:tcBorders>
              <w:top w:val="single" w:color="auto" w:sz="4" w:space="0"/>
              <w:left w:val="nil"/>
              <w:bottom w:val="single" w:color="auto" w:sz="4" w:space="0"/>
              <w:right w:val="single" w:color="auto" w:sz="4" w:space="0"/>
            </w:tcBorders>
            <w:vAlign w:val="center"/>
          </w:tcPr>
          <w:p w14:paraId="64C4BDD2">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210851B4">
            <w:pPr>
              <w:ind w:left="285" w:hanging="454" w:hangingChars="132"/>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309EB46A">
            <w:pPr>
              <w:ind w:left="285" w:hanging="454" w:hangingChars="132"/>
              <w:rPr>
                <w:rFonts w:ascii="仿宋" w:hAnsi="仿宋" w:eastAsia="仿宋" w:cs="仿宋"/>
                <w:color w:val="auto"/>
                <w:szCs w:val="21"/>
                <w:highlight w:val="none"/>
              </w:rPr>
            </w:pPr>
          </w:p>
        </w:tc>
      </w:tr>
      <w:tr w14:paraId="22A9DE45">
        <w:tblPrEx>
          <w:tblCellMar>
            <w:top w:w="0" w:type="dxa"/>
            <w:left w:w="108" w:type="dxa"/>
            <w:bottom w:w="0" w:type="dxa"/>
            <w:right w:w="108" w:type="dxa"/>
          </w:tblCellMar>
        </w:tblPrEx>
        <w:trPr>
          <w:trHeight w:val="59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4025A20">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3</w:t>
            </w:r>
          </w:p>
        </w:tc>
        <w:tc>
          <w:tcPr>
            <w:tcW w:w="4108" w:type="dxa"/>
            <w:tcBorders>
              <w:top w:val="single" w:color="auto" w:sz="4" w:space="0"/>
              <w:left w:val="nil"/>
              <w:bottom w:val="single" w:color="auto" w:sz="4" w:space="0"/>
              <w:right w:val="single" w:color="auto" w:sz="4" w:space="0"/>
            </w:tcBorders>
            <w:vAlign w:val="center"/>
          </w:tcPr>
          <w:p w14:paraId="50074EBD">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630A2221">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699B4C09">
            <w:pPr>
              <w:rPr>
                <w:rFonts w:ascii="仿宋" w:hAnsi="仿宋" w:eastAsia="仿宋" w:cs="仿宋"/>
                <w:color w:val="auto"/>
                <w:szCs w:val="21"/>
                <w:highlight w:val="none"/>
              </w:rPr>
            </w:pPr>
          </w:p>
        </w:tc>
      </w:tr>
      <w:tr w14:paraId="37926BE8">
        <w:tblPrEx>
          <w:tblCellMar>
            <w:top w:w="0" w:type="dxa"/>
            <w:left w:w="108" w:type="dxa"/>
            <w:bottom w:w="0" w:type="dxa"/>
            <w:right w:w="108" w:type="dxa"/>
          </w:tblCellMar>
        </w:tblPrEx>
        <w:trPr>
          <w:trHeight w:val="56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2AAAB1B">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4</w:t>
            </w:r>
          </w:p>
        </w:tc>
        <w:tc>
          <w:tcPr>
            <w:tcW w:w="4108" w:type="dxa"/>
            <w:tcBorders>
              <w:top w:val="single" w:color="auto" w:sz="4" w:space="0"/>
              <w:left w:val="nil"/>
              <w:bottom w:val="single" w:color="auto" w:sz="4" w:space="0"/>
              <w:right w:val="single" w:color="auto" w:sz="4" w:space="0"/>
            </w:tcBorders>
            <w:vAlign w:val="center"/>
          </w:tcPr>
          <w:p w14:paraId="20147578">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26495590">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5890D21A">
            <w:pPr>
              <w:rPr>
                <w:rFonts w:ascii="仿宋" w:hAnsi="仿宋" w:eastAsia="仿宋" w:cs="仿宋"/>
                <w:color w:val="auto"/>
                <w:szCs w:val="21"/>
                <w:highlight w:val="none"/>
              </w:rPr>
            </w:pPr>
          </w:p>
        </w:tc>
      </w:tr>
      <w:tr w14:paraId="4307DAF0">
        <w:tblPrEx>
          <w:tblCellMar>
            <w:top w:w="0" w:type="dxa"/>
            <w:left w:w="108" w:type="dxa"/>
            <w:bottom w:w="0" w:type="dxa"/>
            <w:right w:w="108" w:type="dxa"/>
          </w:tblCellMar>
        </w:tblPrEx>
        <w:trPr>
          <w:trHeight w:val="56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E68F7C5">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5</w:t>
            </w:r>
          </w:p>
        </w:tc>
        <w:tc>
          <w:tcPr>
            <w:tcW w:w="4108" w:type="dxa"/>
            <w:tcBorders>
              <w:top w:val="single" w:color="auto" w:sz="4" w:space="0"/>
              <w:left w:val="nil"/>
              <w:bottom w:val="single" w:color="auto" w:sz="4" w:space="0"/>
              <w:right w:val="single" w:color="auto" w:sz="4" w:space="0"/>
            </w:tcBorders>
            <w:vAlign w:val="center"/>
          </w:tcPr>
          <w:p w14:paraId="408D1F81">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7D3018A5">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3260FB91">
            <w:pPr>
              <w:rPr>
                <w:rFonts w:ascii="仿宋" w:hAnsi="仿宋" w:eastAsia="仿宋" w:cs="仿宋"/>
                <w:color w:val="auto"/>
                <w:szCs w:val="21"/>
                <w:highlight w:val="none"/>
              </w:rPr>
            </w:pPr>
          </w:p>
        </w:tc>
      </w:tr>
      <w:tr w14:paraId="2A99D99B">
        <w:tblPrEx>
          <w:tblCellMar>
            <w:top w:w="0" w:type="dxa"/>
            <w:left w:w="108" w:type="dxa"/>
            <w:bottom w:w="0" w:type="dxa"/>
            <w:right w:w="108" w:type="dxa"/>
          </w:tblCellMar>
        </w:tblPrEx>
        <w:trPr>
          <w:trHeight w:val="56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F450ACB">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6</w:t>
            </w:r>
          </w:p>
        </w:tc>
        <w:tc>
          <w:tcPr>
            <w:tcW w:w="4108" w:type="dxa"/>
            <w:tcBorders>
              <w:top w:val="single" w:color="auto" w:sz="4" w:space="0"/>
              <w:left w:val="nil"/>
              <w:bottom w:val="single" w:color="auto" w:sz="4" w:space="0"/>
              <w:right w:val="single" w:color="auto" w:sz="4" w:space="0"/>
            </w:tcBorders>
            <w:vAlign w:val="center"/>
          </w:tcPr>
          <w:p w14:paraId="6CC6061D">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5FEE32B3">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268FD679">
            <w:pPr>
              <w:rPr>
                <w:rFonts w:ascii="仿宋" w:hAnsi="仿宋" w:eastAsia="仿宋" w:cs="仿宋"/>
                <w:color w:val="auto"/>
                <w:szCs w:val="21"/>
                <w:highlight w:val="none"/>
              </w:rPr>
            </w:pPr>
          </w:p>
        </w:tc>
      </w:tr>
      <w:tr w14:paraId="63447276">
        <w:tblPrEx>
          <w:tblCellMar>
            <w:top w:w="0" w:type="dxa"/>
            <w:left w:w="108" w:type="dxa"/>
            <w:bottom w:w="0" w:type="dxa"/>
            <w:right w:w="108" w:type="dxa"/>
          </w:tblCellMar>
        </w:tblPrEx>
        <w:trPr>
          <w:trHeight w:val="56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5B66B7D1">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bidi="ar"/>
              </w:rPr>
              <w:t>7</w:t>
            </w:r>
          </w:p>
        </w:tc>
        <w:tc>
          <w:tcPr>
            <w:tcW w:w="4108" w:type="dxa"/>
            <w:tcBorders>
              <w:top w:val="single" w:color="auto" w:sz="4" w:space="0"/>
              <w:left w:val="nil"/>
              <w:bottom w:val="single" w:color="auto" w:sz="4" w:space="0"/>
              <w:right w:val="single" w:color="auto" w:sz="4" w:space="0"/>
            </w:tcBorders>
            <w:vAlign w:val="center"/>
          </w:tcPr>
          <w:p w14:paraId="13BEF766">
            <w:pPr>
              <w:spacing w:line="360" w:lineRule="auto"/>
              <w:ind w:left="-34" w:leftChars="-30" w:hanging="69" w:hangingChars="20"/>
              <w:jc w:val="left"/>
              <w:rPr>
                <w:rFonts w:ascii="仿宋" w:hAnsi="仿宋" w:eastAsia="仿宋" w:cs="仿宋"/>
                <w:color w:val="auto"/>
                <w:szCs w:val="21"/>
                <w:highlight w:val="none"/>
              </w:rPr>
            </w:pPr>
          </w:p>
        </w:tc>
        <w:tc>
          <w:tcPr>
            <w:tcW w:w="2693" w:type="dxa"/>
            <w:tcBorders>
              <w:top w:val="single" w:color="auto" w:sz="4" w:space="0"/>
              <w:left w:val="nil"/>
              <w:bottom w:val="single" w:color="auto" w:sz="4" w:space="0"/>
              <w:right w:val="single" w:color="auto" w:sz="4" w:space="0"/>
            </w:tcBorders>
            <w:vAlign w:val="center"/>
          </w:tcPr>
          <w:p w14:paraId="0D439D63">
            <w:pPr>
              <w:rPr>
                <w:rFonts w:ascii="仿宋" w:hAnsi="仿宋" w:eastAsia="仿宋" w:cs="仿宋"/>
                <w:color w:val="auto"/>
                <w:szCs w:val="21"/>
                <w:highlight w:val="none"/>
              </w:rPr>
            </w:pPr>
          </w:p>
        </w:tc>
        <w:tc>
          <w:tcPr>
            <w:tcW w:w="1418" w:type="dxa"/>
            <w:tcBorders>
              <w:top w:val="single" w:color="auto" w:sz="4" w:space="0"/>
              <w:left w:val="nil"/>
              <w:bottom w:val="single" w:color="auto" w:sz="4" w:space="0"/>
              <w:right w:val="single" w:color="auto" w:sz="4" w:space="0"/>
            </w:tcBorders>
            <w:vAlign w:val="center"/>
          </w:tcPr>
          <w:p w14:paraId="6297836D">
            <w:pPr>
              <w:rPr>
                <w:rFonts w:ascii="仿宋" w:hAnsi="仿宋" w:eastAsia="仿宋" w:cs="仿宋"/>
                <w:color w:val="auto"/>
                <w:szCs w:val="21"/>
                <w:highlight w:val="none"/>
              </w:rPr>
            </w:pPr>
          </w:p>
        </w:tc>
      </w:tr>
    </w:tbl>
    <w:p w14:paraId="29C975A3">
      <w:pPr>
        <w:shd w:val="clear"/>
        <w:spacing w:line="560" w:lineRule="exact"/>
        <w:ind w:firstLine="490"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w:t>
      </w:r>
    </w:p>
    <w:p w14:paraId="74DF5130">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1、供应商必须据实填写，不得虚假响应，虚假响应的，其响应文件无效并按规定追究其相关责任（具体按磋商文件</w:t>
      </w:r>
      <w:r>
        <w:rPr>
          <w:rFonts w:hint="eastAsia" w:ascii="仿宋" w:hAnsi="仿宋" w:eastAsia="仿宋" w:cs="仿宋"/>
          <w:b/>
          <w:bCs/>
          <w:color w:val="auto"/>
          <w:sz w:val="24"/>
          <w:szCs w:val="24"/>
          <w:highlight w:val="none"/>
          <w:lang w:val="en-US" w:eastAsia="zh-CN"/>
        </w:rPr>
        <w:t>第五章</w:t>
      </w:r>
      <w:r>
        <w:rPr>
          <w:rFonts w:hint="eastAsia" w:ascii="仿宋" w:hAnsi="仿宋" w:eastAsia="仿宋" w:cs="仿宋"/>
          <w:color w:val="auto"/>
          <w:sz w:val="24"/>
          <w:highlight w:val="none"/>
          <w:lang w:val="en-US" w:eastAsia="zh-CN"/>
        </w:rPr>
        <w:t>相应内容</w:t>
      </w:r>
      <w:r>
        <w:rPr>
          <w:rFonts w:hint="eastAsia" w:ascii="仿宋" w:hAnsi="仿宋" w:eastAsia="仿宋" w:cs="仿宋"/>
          <w:color w:val="auto"/>
          <w:sz w:val="24"/>
          <w:szCs w:val="24"/>
          <w:highlight w:val="none"/>
          <w:lang w:val="en-US" w:eastAsia="zh-CN"/>
        </w:rPr>
        <w:t>对应填写）。</w:t>
      </w:r>
    </w:p>
    <w:p w14:paraId="3CBEC0BE">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2、响应应答栏填响应或详细说明。</w:t>
      </w:r>
    </w:p>
    <w:p w14:paraId="1A0E7690">
      <w:pPr>
        <w:keepNext w:val="0"/>
        <w:keepLines w:val="0"/>
        <w:pageBreakBefore w:val="0"/>
        <w:widowControl w:val="0"/>
        <w:shd w:val="clear"/>
        <w:kinsoku/>
        <w:wordWrap/>
        <w:overflowPunct/>
        <w:topLinePunct w:val="0"/>
        <w:autoSpaceDE/>
        <w:autoSpaceDN/>
        <w:bidi w:val="0"/>
        <w:adjustRightInd/>
        <w:snapToGrid/>
        <w:spacing w:line="520" w:lineRule="exact"/>
        <w:ind w:firstLine="49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3、“偏离情况”栏应当填写“正偏离、无偏离、负偏离”。</w:t>
      </w:r>
    </w:p>
    <w:p w14:paraId="332B2E30">
      <w:pPr>
        <w:spacing w:line="560" w:lineRule="exact"/>
        <w:ind w:firstLine="570" w:firstLineChars="200"/>
        <w:rPr>
          <w:rFonts w:ascii="仿宋" w:hAnsi="仿宋" w:eastAsia="仿宋" w:cs="仿宋"/>
          <w:color w:val="auto"/>
          <w:sz w:val="28"/>
          <w:szCs w:val="28"/>
          <w:highlight w:val="none"/>
        </w:rPr>
      </w:pPr>
    </w:p>
    <w:p w14:paraId="01EBB3C3">
      <w:pPr>
        <w:keepNext w:val="0"/>
        <w:keepLines w:val="0"/>
        <w:pageBreakBefore w:val="0"/>
        <w:widowControl w:val="0"/>
        <w:numPr>
          <w:ilvl w:val="0"/>
          <w:numId w:val="0"/>
        </w:numPr>
        <w:shd w:val="clear"/>
        <w:kinsoku/>
        <w:wordWrap/>
        <w:overflowPunct/>
        <w:topLinePunct w:val="0"/>
        <w:autoSpaceDE/>
        <w:autoSpaceDN/>
        <w:bidi w:val="0"/>
        <w:adjustRightInd/>
        <w:snapToGrid/>
        <w:spacing w:before="120" w:after="120"/>
        <w:jc w:val="center"/>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lang w:eastAsia="zh-CN"/>
        </w:rPr>
        <w:br w:type="page"/>
      </w:r>
      <w:r>
        <w:rPr>
          <w:rFonts w:hint="eastAsia" w:ascii="仿宋" w:hAnsi="仿宋" w:eastAsia="仿宋" w:cs="仿宋"/>
          <w:b/>
          <w:bCs/>
          <w:color w:val="auto"/>
          <w:sz w:val="30"/>
          <w:szCs w:val="30"/>
          <w:highlight w:val="none"/>
          <w:lang w:val="en-US" w:eastAsia="zh-CN"/>
        </w:rPr>
        <w:t>五、</w:t>
      </w:r>
      <w:r>
        <w:rPr>
          <w:rFonts w:hint="eastAsia" w:ascii="仿宋" w:hAnsi="仿宋" w:eastAsia="仿宋" w:cs="仿宋"/>
          <w:b/>
          <w:bCs/>
          <w:color w:val="auto"/>
          <w:sz w:val="30"/>
          <w:szCs w:val="30"/>
          <w:highlight w:val="none"/>
          <w:lang w:eastAsia="zh-CN"/>
        </w:rPr>
        <w:t>供应商</w:t>
      </w:r>
      <w:r>
        <w:rPr>
          <w:rFonts w:hint="eastAsia" w:ascii="仿宋" w:hAnsi="仿宋" w:eastAsia="仿宋" w:cs="仿宋"/>
          <w:b/>
          <w:bCs/>
          <w:color w:val="auto"/>
          <w:sz w:val="30"/>
          <w:szCs w:val="30"/>
          <w:highlight w:val="none"/>
        </w:rPr>
        <w:t>类似项目业绩一览表</w:t>
      </w:r>
    </w:p>
    <w:p w14:paraId="5931DC02">
      <w:pPr>
        <w:keepNext w:val="0"/>
        <w:keepLines w:val="0"/>
        <w:pageBreakBefore w:val="0"/>
        <w:widowControl w:val="0"/>
        <w:numPr>
          <w:ilvl w:val="0"/>
          <w:numId w:val="0"/>
        </w:numPr>
        <w:kinsoku/>
        <w:wordWrap/>
        <w:overflowPunct/>
        <w:topLinePunct w:val="0"/>
        <w:autoSpaceDE/>
        <w:autoSpaceDN/>
        <w:bidi w:val="0"/>
        <w:adjustRightInd/>
        <w:snapToGrid/>
        <w:spacing w:before="260" w:after="260"/>
        <w:jc w:val="center"/>
        <w:textAlignment w:val="auto"/>
        <w:outlineLvl w:val="3"/>
        <w:rPr>
          <w:rFonts w:hint="default" w:eastAsia="仿宋"/>
          <w:color w:val="auto"/>
          <w:highlight w:val="none"/>
          <w:lang w:val="en-US" w:eastAsia="zh-CN"/>
        </w:rPr>
      </w:pPr>
      <w:r>
        <w:rPr>
          <w:rFonts w:hint="eastAsia" w:ascii="仿宋" w:hAnsi="仿宋" w:eastAsia="仿宋" w:cs="仿宋"/>
          <w:b/>
          <w:bCs/>
          <w:color w:val="auto"/>
          <w:sz w:val="30"/>
          <w:szCs w:val="30"/>
          <w:highlight w:val="none"/>
          <w:lang w:val="en-US" w:eastAsia="zh-CN"/>
        </w:rPr>
        <w:t>{货物、服务类}</w:t>
      </w:r>
    </w:p>
    <w:tbl>
      <w:tblPr>
        <w:tblStyle w:val="33"/>
        <w:tblW w:w="928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43"/>
        <w:gridCol w:w="1439"/>
        <w:gridCol w:w="1319"/>
        <w:gridCol w:w="1160"/>
        <w:gridCol w:w="1421"/>
        <w:gridCol w:w="1614"/>
        <w:gridCol w:w="1387"/>
      </w:tblGrid>
      <w:tr w14:paraId="1D6C0B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943" w:type="dxa"/>
            <w:tcBorders>
              <w:top w:val="single" w:color="auto" w:sz="4" w:space="0"/>
            </w:tcBorders>
            <w:vAlign w:val="center"/>
          </w:tcPr>
          <w:p w14:paraId="1982DBDD">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年份</w:t>
            </w:r>
          </w:p>
        </w:tc>
        <w:tc>
          <w:tcPr>
            <w:tcW w:w="1439" w:type="dxa"/>
            <w:vAlign w:val="center"/>
          </w:tcPr>
          <w:p w14:paraId="48E005A7">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用户名称</w:t>
            </w:r>
          </w:p>
        </w:tc>
        <w:tc>
          <w:tcPr>
            <w:tcW w:w="1319" w:type="dxa"/>
            <w:vAlign w:val="center"/>
          </w:tcPr>
          <w:p w14:paraId="0EEDCFBA">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项目名称</w:t>
            </w:r>
          </w:p>
        </w:tc>
        <w:tc>
          <w:tcPr>
            <w:tcW w:w="1160" w:type="dxa"/>
            <w:vAlign w:val="center"/>
          </w:tcPr>
          <w:p w14:paraId="1E3D6CA1">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完成时间</w:t>
            </w:r>
          </w:p>
        </w:tc>
        <w:tc>
          <w:tcPr>
            <w:tcW w:w="1421" w:type="dxa"/>
            <w:vAlign w:val="center"/>
          </w:tcPr>
          <w:p w14:paraId="5D5996A9">
            <w:pPr>
              <w:spacing w:line="400" w:lineRule="exact"/>
              <w:ind w:firstLine="122" w:firstLineChars="5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合同金额</w:t>
            </w:r>
          </w:p>
        </w:tc>
        <w:tc>
          <w:tcPr>
            <w:tcW w:w="1614" w:type="dxa"/>
            <w:tcBorders>
              <w:right w:val="single" w:color="auto" w:sz="4" w:space="0"/>
            </w:tcBorders>
            <w:vAlign w:val="center"/>
          </w:tcPr>
          <w:p w14:paraId="61A0F431">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是否通过验收</w:t>
            </w:r>
          </w:p>
        </w:tc>
        <w:tc>
          <w:tcPr>
            <w:tcW w:w="1387" w:type="dxa"/>
            <w:tcBorders>
              <w:left w:val="single" w:color="auto" w:sz="4" w:space="0"/>
            </w:tcBorders>
            <w:vAlign w:val="center"/>
          </w:tcPr>
          <w:p w14:paraId="20314B99">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备注</w:t>
            </w:r>
          </w:p>
        </w:tc>
      </w:tr>
      <w:tr w14:paraId="4B2D0E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943" w:type="dxa"/>
            <w:vAlign w:val="center"/>
          </w:tcPr>
          <w:p w14:paraId="1036C91B">
            <w:pPr>
              <w:spacing w:line="400" w:lineRule="exact"/>
              <w:jc w:val="center"/>
              <w:rPr>
                <w:rFonts w:ascii="仿宋" w:hAnsi="仿宋" w:eastAsia="仿宋" w:cs="仿宋"/>
                <w:color w:val="auto"/>
                <w:sz w:val="24"/>
                <w:highlight w:val="none"/>
              </w:rPr>
            </w:pPr>
          </w:p>
        </w:tc>
        <w:tc>
          <w:tcPr>
            <w:tcW w:w="1439" w:type="dxa"/>
            <w:vAlign w:val="center"/>
          </w:tcPr>
          <w:p w14:paraId="436A021E">
            <w:pPr>
              <w:spacing w:line="400" w:lineRule="exact"/>
              <w:jc w:val="center"/>
              <w:rPr>
                <w:rFonts w:ascii="仿宋" w:hAnsi="仿宋" w:eastAsia="仿宋" w:cs="仿宋"/>
                <w:color w:val="auto"/>
                <w:sz w:val="24"/>
                <w:highlight w:val="none"/>
              </w:rPr>
            </w:pPr>
          </w:p>
        </w:tc>
        <w:tc>
          <w:tcPr>
            <w:tcW w:w="1319" w:type="dxa"/>
            <w:vAlign w:val="center"/>
          </w:tcPr>
          <w:p w14:paraId="7A7EC8EA">
            <w:pPr>
              <w:spacing w:line="400" w:lineRule="exact"/>
              <w:jc w:val="center"/>
              <w:rPr>
                <w:rFonts w:ascii="仿宋" w:hAnsi="仿宋" w:eastAsia="仿宋" w:cs="仿宋"/>
                <w:color w:val="auto"/>
                <w:sz w:val="24"/>
                <w:highlight w:val="none"/>
              </w:rPr>
            </w:pPr>
          </w:p>
        </w:tc>
        <w:tc>
          <w:tcPr>
            <w:tcW w:w="1160" w:type="dxa"/>
            <w:vAlign w:val="center"/>
          </w:tcPr>
          <w:p w14:paraId="0C3082AC">
            <w:pPr>
              <w:spacing w:line="400" w:lineRule="exact"/>
              <w:jc w:val="center"/>
              <w:rPr>
                <w:rFonts w:ascii="仿宋" w:hAnsi="仿宋" w:eastAsia="仿宋" w:cs="仿宋"/>
                <w:color w:val="auto"/>
                <w:sz w:val="24"/>
                <w:highlight w:val="none"/>
              </w:rPr>
            </w:pPr>
          </w:p>
        </w:tc>
        <w:tc>
          <w:tcPr>
            <w:tcW w:w="1421" w:type="dxa"/>
            <w:vAlign w:val="center"/>
          </w:tcPr>
          <w:p w14:paraId="6A1BCFC9">
            <w:pPr>
              <w:spacing w:line="400" w:lineRule="exact"/>
              <w:jc w:val="center"/>
              <w:rPr>
                <w:rFonts w:ascii="仿宋" w:hAnsi="仿宋" w:eastAsia="仿宋" w:cs="仿宋"/>
                <w:color w:val="auto"/>
                <w:sz w:val="24"/>
                <w:highlight w:val="none"/>
              </w:rPr>
            </w:pPr>
          </w:p>
        </w:tc>
        <w:tc>
          <w:tcPr>
            <w:tcW w:w="1614" w:type="dxa"/>
            <w:tcBorders>
              <w:right w:val="single" w:color="auto" w:sz="4" w:space="0"/>
            </w:tcBorders>
            <w:vAlign w:val="center"/>
          </w:tcPr>
          <w:p w14:paraId="65BBD0D0">
            <w:pPr>
              <w:spacing w:line="400" w:lineRule="exact"/>
              <w:jc w:val="center"/>
              <w:rPr>
                <w:rFonts w:ascii="仿宋" w:hAnsi="仿宋" w:eastAsia="仿宋" w:cs="仿宋"/>
                <w:color w:val="auto"/>
                <w:sz w:val="24"/>
                <w:highlight w:val="none"/>
              </w:rPr>
            </w:pPr>
          </w:p>
        </w:tc>
        <w:tc>
          <w:tcPr>
            <w:tcW w:w="1387" w:type="dxa"/>
            <w:tcBorders>
              <w:left w:val="single" w:color="auto" w:sz="4" w:space="0"/>
            </w:tcBorders>
            <w:vAlign w:val="center"/>
          </w:tcPr>
          <w:p w14:paraId="19AAF991">
            <w:pPr>
              <w:spacing w:line="400" w:lineRule="exact"/>
              <w:jc w:val="center"/>
              <w:rPr>
                <w:rFonts w:ascii="仿宋" w:hAnsi="仿宋" w:eastAsia="仿宋" w:cs="仿宋"/>
                <w:color w:val="auto"/>
                <w:sz w:val="24"/>
                <w:highlight w:val="none"/>
              </w:rPr>
            </w:pPr>
          </w:p>
        </w:tc>
      </w:tr>
      <w:tr w14:paraId="776968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943" w:type="dxa"/>
            <w:vAlign w:val="center"/>
          </w:tcPr>
          <w:p w14:paraId="38F1EBFB">
            <w:pPr>
              <w:spacing w:line="400" w:lineRule="exact"/>
              <w:jc w:val="center"/>
              <w:rPr>
                <w:rFonts w:ascii="仿宋" w:hAnsi="仿宋" w:eastAsia="仿宋" w:cs="仿宋"/>
                <w:color w:val="auto"/>
                <w:sz w:val="24"/>
                <w:highlight w:val="none"/>
              </w:rPr>
            </w:pPr>
          </w:p>
        </w:tc>
        <w:tc>
          <w:tcPr>
            <w:tcW w:w="1439" w:type="dxa"/>
            <w:vAlign w:val="center"/>
          </w:tcPr>
          <w:p w14:paraId="0CDCD853">
            <w:pPr>
              <w:spacing w:line="400" w:lineRule="exact"/>
              <w:jc w:val="center"/>
              <w:rPr>
                <w:rFonts w:ascii="仿宋" w:hAnsi="仿宋" w:eastAsia="仿宋" w:cs="仿宋"/>
                <w:color w:val="auto"/>
                <w:sz w:val="24"/>
                <w:highlight w:val="none"/>
              </w:rPr>
            </w:pPr>
          </w:p>
        </w:tc>
        <w:tc>
          <w:tcPr>
            <w:tcW w:w="1319" w:type="dxa"/>
            <w:vAlign w:val="center"/>
          </w:tcPr>
          <w:p w14:paraId="395413F2">
            <w:pPr>
              <w:spacing w:line="400" w:lineRule="exact"/>
              <w:jc w:val="center"/>
              <w:rPr>
                <w:rFonts w:ascii="仿宋" w:hAnsi="仿宋" w:eastAsia="仿宋" w:cs="仿宋"/>
                <w:color w:val="auto"/>
                <w:sz w:val="24"/>
                <w:highlight w:val="none"/>
              </w:rPr>
            </w:pPr>
          </w:p>
        </w:tc>
        <w:tc>
          <w:tcPr>
            <w:tcW w:w="1160" w:type="dxa"/>
            <w:vAlign w:val="center"/>
          </w:tcPr>
          <w:p w14:paraId="4D1CEFC4">
            <w:pPr>
              <w:spacing w:line="400" w:lineRule="exact"/>
              <w:jc w:val="center"/>
              <w:rPr>
                <w:rFonts w:ascii="仿宋" w:hAnsi="仿宋" w:eastAsia="仿宋" w:cs="仿宋"/>
                <w:color w:val="auto"/>
                <w:sz w:val="24"/>
                <w:highlight w:val="none"/>
              </w:rPr>
            </w:pPr>
          </w:p>
        </w:tc>
        <w:tc>
          <w:tcPr>
            <w:tcW w:w="1421" w:type="dxa"/>
            <w:vAlign w:val="center"/>
          </w:tcPr>
          <w:p w14:paraId="1388F531">
            <w:pPr>
              <w:spacing w:line="400" w:lineRule="exact"/>
              <w:jc w:val="center"/>
              <w:rPr>
                <w:rFonts w:ascii="仿宋" w:hAnsi="仿宋" w:eastAsia="仿宋" w:cs="仿宋"/>
                <w:color w:val="auto"/>
                <w:sz w:val="24"/>
                <w:highlight w:val="none"/>
              </w:rPr>
            </w:pPr>
          </w:p>
        </w:tc>
        <w:tc>
          <w:tcPr>
            <w:tcW w:w="1614" w:type="dxa"/>
            <w:tcBorders>
              <w:right w:val="single" w:color="auto" w:sz="4" w:space="0"/>
            </w:tcBorders>
            <w:vAlign w:val="center"/>
          </w:tcPr>
          <w:p w14:paraId="0869D382">
            <w:pPr>
              <w:spacing w:line="400" w:lineRule="exact"/>
              <w:jc w:val="center"/>
              <w:rPr>
                <w:rFonts w:ascii="仿宋" w:hAnsi="仿宋" w:eastAsia="仿宋" w:cs="仿宋"/>
                <w:color w:val="auto"/>
                <w:sz w:val="24"/>
                <w:highlight w:val="none"/>
              </w:rPr>
            </w:pPr>
          </w:p>
        </w:tc>
        <w:tc>
          <w:tcPr>
            <w:tcW w:w="1387" w:type="dxa"/>
            <w:tcBorders>
              <w:left w:val="single" w:color="auto" w:sz="4" w:space="0"/>
            </w:tcBorders>
            <w:vAlign w:val="center"/>
          </w:tcPr>
          <w:p w14:paraId="3ACC2D18">
            <w:pPr>
              <w:spacing w:line="400" w:lineRule="exact"/>
              <w:jc w:val="center"/>
              <w:rPr>
                <w:rFonts w:ascii="仿宋" w:hAnsi="仿宋" w:eastAsia="仿宋" w:cs="仿宋"/>
                <w:color w:val="auto"/>
                <w:sz w:val="24"/>
                <w:highlight w:val="none"/>
              </w:rPr>
            </w:pPr>
          </w:p>
        </w:tc>
      </w:tr>
      <w:tr w14:paraId="1B0C59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943" w:type="dxa"/>
            <w:vAlign w:val="center"/>
          </w:tcPr>
          <w:p w14:paraId="0059598C">
            <w:pPr>
              <w:spacing w:line="400" w:lineRule="exact"/>
              <w:jc w:val="center"/>
              <w:rPr>
                <w:rFonts w:ascii="仿宋" w:hAnsi="仿宋" w:eastAsia="仿宋" w:cs="仿宋"/>
                <w:color w:val="auto"/>
                <w:sz w:val="24"/>
                <w:highlight w:val="none"/>
              </w:rPr>
            </w:pPr>
          </w:p>
        </w:tc>
        <w:tc>
          <w:tcPr>
            <w:tcW w:w="1439" w:type="dxa"/>
            <w:vAlign w:val="center"/>
          </w:tcPr>
          <w:p w14:paraId="386EAA79">
            <w:pPr>
              <w:spacing w:line="400" w:lineRule="exact"/>
              <w:jc w:val="center"/>
              <w:rPr>
                <w:rFonts w:ascii="仿宋" w:hAnsi="仿宋" w:eastAsia="仿宋" w:cs="仿宋"/>
                <w:color w:val="auto"/>
                <w:sz w:val="24"/>
                <w:highlight w:val="none"/>
              </w:rPr>
            </w:pPr>
          </w:p>
        </w:tc>
        <w:tc>
          <w:tcPr>
            <w:tcW w:w="1319" w:type="dxa"/>
            <w:vAlign w:val="center"/>
          </w:tcPr>
          <w:p w14:paraId="12A998FD">
            <w:pPr>
              <w:spacing w:line="400" w:lineRule="exact"/>
              <w:jc w:val="center"/>
              <w:rPr>
                <w:rFonts w:ascii="仿宋" w:hAnsi="仿宋" w:eastAsia="仿宋" w:cs="仿宋"/>
                <w:color w:val="auto"/>
                <w:sz w:val="24"/>
                <w:highlight w:val="none"/>
              </w:rPr>
            </w:pPr>
          </w:p>
        </w:tc>
        <w:tc>
          <w:tcPr>
            <w:tcW w:w="1160" w:type="dxa"/>
            <w:vAlign w:val="center"/>
          </w:tcPr>
          <w:p w14:paraId="3FAF7110">
            <w:pPr>
              <w:spacing w:line="400" w:lineRule="exact"/>
              <w:jc w:val="center"/>
              <w:rPr>
                <w:rFonts w:ascii="仿宋" w:hAnsi="仿宋" w:eastAsia="仿宋" w:cs="仿宋"/>
                <w:color w:val="auto"/>
                <w:sz w:val="24"/>
                <w:highlight w:val="none"/>
              </w:rPr>
            </w:pPr>
          </w:p>
        </w:tc>
        <w:tc>
          <w:tcPr>
            <w:tcW w:w="1421" w:type="dxa"/>
            <w:vAlign w:val="center"/>
          </w:tcPr>
          <w:p w14:paraId="24602355">
            <w:pPr>
              <w:spacing w:line="400" w:lineRule="exact"/>
              <w:jc w:val="center"/>
              <w:rPr>
                <w:rFonts w:ascii="仿宋" w:hAnsi="仿宋" w:eastAsia="仿宋" w:cs="仿宋"/>
                <w:color w:val="auto"/>
                <w:sz w:val="24"/>
                <w:highlight w:val="none"/>
              </w:rPr>
            </w:pPr>
          </w:p>
        </w:tc>
        <w:tc>
          <w:tcPr>
            <w:tcW w:w="1614" w:type="dxa"/>
            <w:tcBorders>
              <w:right w:val="single" w:color="auto" w:sz="4" w:space="0"/>
            </w:tcBorders>
            <w:vAlign w:val="center"/>
          </w:tcPr>
          <w:p w14:paraId="7CEE29AE">
            <w:pPr>
              <w:spacing w:line="400" w:lineRule="exact"/>
              <w:jc w:val="center"/>
              <w:rPr>
                <w:rFonts w:ascii="仿宋" w:hAnsi="仿宋" w:eastAsia="仿宋" w:cs="仿宋"/>
                <w:color w:val="auto"/>
                <w:sz w:val="24"/>
                <w:highlight w:val="none"/>
              </w:rPr>
            </w:pPr>
          </w:p>
        </w:tc>
        <w:tc>
          <w:tcPr>
            <w:tcW w:w="1387" w:type="dxa"/>
            <w:tcBorders>
              <w:left w:val="single" w:color="auto" w:sz="4" w:space="0"/>
            </w:tcBorders>
            <w:vAlign w:val="center"/>
          </w:tcPr>
          <w:p w14:paraId="16F026F5">
            <w:pPr>
              <w:spacing w:line="400" w:lineRule="exact"/>
              <w:jc w:val="center"/>
              <w:rPr>
                <w:rFonts w:ascii="仿宋" w:hAnsi="仿宋" w:eastAsia="仿宋" w:cs="仿宋"/>
                <w:color w:val="auto"/>
                <w:sz w:val="24"/>
                <w:highlight w:val="none"/>
              </w:rPr>
            </w:pPr>
          </w:p>
        </w:tc>
      </w:tr>
    </w:tbl>
    <w:p w14:paraId="2847C310">
      <w:pPr>
        <w:shd w:val="clear"/>
        <w:tabs>
          <w:tab w:val="left" w:pos="555"/>
          <w:tab w:val="left" w:pos="2214"/>
          <w:tab w:val="left" w:pos="3774"/>
          <w:tab w:val="left" w:pos="4854"/>
          <w:tab w:val="left" w:pos="5934"/>
          <w:tab w:val="left" w:pos="7014"/>
          <w:tab w:val="left" w:pos="8214"/>
          <w:tab w:val="left" w:pos="10134"/>
          <w:tab w:val="left" w:pos="11124"/>
        </w:tabs>
        <w:spacing w:line="560" w:lineRule="exact"/>
        <w:ind w:firstLine="490" w:firstLineChars="200"/>
        <w:rPr>
          <w:rFonts w:eastAsia="仿宋"/>
          <w:color w:val="auto"/>
          <w:sz w:val="28"/>
          <w:szCs w:val="28"/>
          <w:highlight w:val="none"/>
        </w:rPr>
      </w:pPr>
      <w:r>
        <w:rPr>
          <w:rFonts w:hint="eastAsia" w:ascii="仿宋" w:hAnsi="仿宋" w:eastAsia="仿宋" w:cs="仿宋"/>
          <w:b/>
          <w:bCs/>
          <w:color w:val="auto"/>
          <w:sz w:val="24"/>
          <w:szCs w:val="24"/>
          <w:highlight w:val="none"/>
        </w:rPr>
        <w:t>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rPr>
        <w:t>（仅限于</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rPr>
        <w:t>自己实施的）以上业绩需提供有关书面证明材料。</w:t>
      </w:r>
    </w:p>
    <w:p w14:paraId="59E9FB83">
      <w:pPr>
        <w:spacing w:before="120" w:after="120"/>
        <w:jc w:val="center"/>
        <w:outlineLvl w:val="2"/>
        <w:rPr>
          <w:rFonts w:ascii="仿宋" w:hAnsi="仿宋" w:eastAsia="仿宋" w:cs="仿宋"/>
          <w:color w:val="auto"/>
          <w:sz w:val="30"/>
          <w:szCs w:val="30"/>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rPr>
        <w:t>六、供应商本项目管理、技术、服务人员情况表</w:t>
      </w:r>
    </w:p>
    <w:p w14:paraId="5B4B1C14">
      <w:pPr>
        <w:keepNext w:val="0"/>
        <w:keepLines w:val="0"/>
        <w:pageBreakBefore w:val="0"/>
        <w:widowControl w:val="0"/>
        <w:numPr>
          <w:ilvl w:val="0"/>
          <w:numId w:val="0"/>
        </w:numPr>
        <w:kinsoku/>
        <w:wordWrap/>
        <w:overflowPunct/>
        <w:topLinePunct w:val="0"/>
        <w:autoSpaceDE/>
        <w:autoSpaceDN/>
        <w:bidi w:val="0"/>
        <w:adjustRightInd/>
        <w:snapToGrid/>
        <w:spacing w:before="260" w:after="260"/>
        <w:jc w:val="center"/>
        <w:textAlignment w:val="auto"/>
        <w:outlineLvl w:val="3"/>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{货物、服务类}</w:t>
      </w:r>
    </w:p>
    <w:tbl>
      <w:tblPr>
        <w:tblStyle w:val="33"/>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974"/>
        <w:gridCol w:w="972"/>
        <w:gridCol w:w="974"/>
        <w:gridCol w:w="973"/>
        <w:gridCol w:w="974"/>
        <w:gridCol w:w="974"/>
        <w:gridCol w:w="972"/>
        <w:gridCol w:w="974"/>
      </w:tblGrid>
      <w:tr w14:paraId="711D0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restart"/>
            <w:vAlign w:val="center"/>
          </w:tcPr>
          <w:p w14:paraId="3F95E14F">
            <w:pPr>
              <w:rPr>
                <w:rFonts w:ascii="仿宋" w:hAnsi="仿宋" w:eastAsia="仿宋" w:cs="仿宋"/>
                <w:color w:val="auto"/>
                <w:sz w:val="24"/>
                <w:highlight w:val="none"/>
              </w:rPr>
            </w:pPr>
            <w:r>
              <w:rPr>
                <w:rFonts w:hint="eastAsia" w:ascii="仿宋" w:hAnsi="仿宋" w:eastAsia="仿宋" w:cs="仿宋"/>
                <w:b/>
                <w:bCs/>
                <w:color w:val="auto"/>
                <w:sz w:val="30"/>
                <w:szCs w:val="30"/>
                <w:highlight w:val="none"/>
                <w:lang w:val="en-US" w:eastAsia="zh-CN"/>
              </w:rPr>
              <w:br w:type="page"/>
            </w:r>
            <w:r>
              <w:rPr>
                <w:rFonts w:hint="eastAsia" w:ascii="仿宋" w:hAnsi="仿宋" w:eastAsia="仿宋" w:cs="仿宋"/>
                <w:color w:val="auto"/>
                <w:sz w:val="24"/>
                <w:highlight w:val="none"/>
              </w:rPr>
              <w:t>类别</w:t>
            </w:r>
          </w:p>
        </w:tc>
        <w:tc>
          <w:tcPr>
            <w:tcW w:w="974" w:type="dxa"/>
            <w:vMerge w:val="restart"/>
            <w:vAlign w:val="center"/>
          </w:tcPr>
          <w:p w14:paraId="090B5AFE">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职务</w:t>
            </w:r>
          </w:p>
        </w:tc>
        <w:tc>
          <w:tcPr>
            <w:tcW w:w="972" w:type="dxa"/>
            <w:vMerge w:val="restart"/>
            <w:vAlign w:val="center"/>
          </w:tcPr>
          <w:p w14:paraId="48D82A57">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974" w:type="dxa"/>
            <w:vMerge w:val="restart"/>
            <w:vAlign w:val="center"/>
          </w:tcPr>
          <w:p w14:paraId="1547DE1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973" w:type="dxa"/>
            <w:vMerge w:val="restart"/>
            <w:vAlign w:val="center"/>
          </w:tcPr>
          <w:p w14:paraId="5337792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常住地</w:t>
            </w:r>
          </w:p>
        </w:tc>
        <w:tc>
          <w:tcPr>
            <w:tcW w:w="3894" w:type="dxa"/>
            <w:gridSpan w:val="4"/>
            <w:vAlign w:val="center"/>
          </w:tcPr>
          <w:p w14:paraId="511F1440">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资格证明（附复印件）</w:t>
            </w:r>
          </w:p>
        </w:tc>
      </w:tr>
      <w:tr w14:paraId="4A65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73" w:type="dxa"/>
            <w:vMerge w:val="continue"/>
            <w:vAlign w:val="center"/>
          </w:tcPr>
          <w:p w14:paraId="0A835125">
            <w:pPr>
              <w:jc w:val="center"/>
              <w:rPr>
                <w:rFonts w:ascii="仿宋" w:hAnsi="仿宋" w:eastAsia="仿宋" w:cs="仿宋"/>
                <w:color w:val="auto"/>
                <w:sz w:val="24"/>
                <w:highlight w:val="none"/>
              </w:rPr>
            </w:pPr>
          </w:p>
        </w:tc>
        <w:tc>
          <w:tcPr>
            <w:tcW w:w="974" w:type="dxa"/>
            <w:vMerge w:val="continue"/>
            <w:vAlign w:val="center"/>
          </w:tcPr>
          <w:p w14:paraId="36246FF4">
            <w:pPr>
              <w:jc w:val="center"/>
              <w:rPr>
                <w:rFonts w:ascii="仿宋" w:hAnsi="仿宋" w:eastAsia="仿宋" w:cs="仿宋"/>
                <w:color w:val="auto"/>
                <w:sz w:val="24"/>
                <w:highlight w:val="none"/>
              </w:rPr>
            </w:pPr>
          </w:p>
        </w:tc>
        <w:tc>
          <w:tcPr>
            <w:tcW w:w="972" w:type="dxa"/>
            <w:vMerge w:val="continue"/>
            <w:vAlign w:val="center"/>
          </w:tcPr>
          <w:p w14:paraId="1DE03DD4">
            <w:pPr>
              <w:jc w:val="center"/>
              <w:rPr>
                <w:rFonts w:ascii="仿宋" w:hAnsi="仿宋" w:eastAsia="仿宋" w:cs="仿宋"/>
                <w:color w:val="auto"/>
                <w:sz w:val="24"/>
                <w:highlight w:val="none"/>
              </w:rPr>
            </w:pPr>
          </w:p>
        </w:tc>
        <w:tc>
          <w:tcPr>
            <w:tcW w:w="974" w:type="dxa"/>
            <w:vMerge w:val="continue"/>
            <w:vAlign w:val="center"/>
          </w:tcPr>
          <w:p w14:paraId="51E52A49">
            <w:pPr>
              <w:jc w:val="center"/>
              <w:rPr>
                <w:rFonts w:ascii="仿宋" w:hAnsi="仿宋" w:eastAsia="仿宋" w:cs="仿宋"/>
                <w:color w:val="auto"/>
                <w:sz w:val="24"/>
                <w:highlight w:val="none"/>
              </w:rPr>
            </w:pPr>
          </w:p>
        </w:tc>
        <w:tc>
          <w:tcPr>
            <w:tcW w:w="973" w:type="dxa"/>
            <w:vMerge w:val="continue"/>
            <w:vAlign w:val="center"/>
          </w:tcPr>
          <w:p w14:paraId="02C35B7A">
            <w:pPr>
              <w:jc w:val="center"/>
              <w:rPr>
                <w:rFonts w:ascii="仿宋" w:hAnsi="仿宋" w:eastAsia="仿宋" w:cs="仿宋"/>
                <w:color w:val="auto"/>
                <w:sz w:val="24"/>
                <w:highlight w:val="none"/>
              </w:rPr>
            </w:pPr>
          </w:p>
        </w:tc>
        <w:tc>
          <w:tcPr>
            <w:tcW w:w="974" w:type="dxa"/>
            <w:vAlign w:val="center"/>
          </w:tcPr>
          <w:p w14:paraId="092B68D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证书</w:t>
            </w:r>
          </w:p>
          <w:p w14:paraId="698DC28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974" w:type="dxa"/>
            <w:vAlign w:val="center"/>
          </w:tcPr>
          <w:p w14:paraId="1B3A0C34">
            <w:pPr>
              <w:jc w:val="center"/>
              <w:rPr>
                <w:rFonts w:ascii="仿宋" w:hAnsi="仿宋" w:eastAsia="仿宋" w:cs="仿宋"/>
                <w:color w:val="auto"/>
                <w:sz w:val="24"/>
                <w:highlight w:val="none"/>
              </w:rPr>
            </w:pPr>
            <w:r>
              <w:rPr>
                <w:rFonts w:hint="eastAsia" w:ascii="仿宋" w:hAnsi="仿宋" w:eastAsia="仿宋" w:cs="仿宋"/>
                <w:color w:val="auto"/>
                <w:sz w:val="24"/>
                <w:highlight w:val="none"/>
              </w:rPr>
              <w:t>级别</w:t>
            </w:r>
          </w:p>
        </w:tc>
        <w:tc>
          <w:tcPr>
            <w:tcW w:w="972" w:type="dxa"/>
            <w:vAlign w:val="center"/>
          </w:tcPr>
          <w:p w14:paraId="0D03761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证号</w:t>
            </w:r>
          </w:p>
        </w:tc>
        <w:tc>
          <w:tcPr>
            <w:tcW w:w="974" w:type="dxa"/>
            <w:vAlign w:val="center"/>
          </w:tcPr>
          <w:p w14:paraId="6ADE838F">
            <w:pPr>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w:t>
            </w:r>
          </w:p>
        </w:tc>
      </w:tr>
      <w:tr w14:paraId="54CD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restart"/>
            <w:vAlign w:val="center"/>
          </w:tcPr>
          <w:p w14:paraId="7039109D">
            <w:pPr>
              <w:jc w:val="center"/>
              <w:rPr>
                <w:rFonts w:ascii="仿宋" w:hAnsi="仿宋" w:eastAsia="仿宋" w:cs="仿宋"/>
                <w:color w:val="auto"/>
                <w:sz w:val="24"/>
                <w:highlight w:val="none"/>
              </w:rPr>
            </w:pPr>
            <w:r>
              <w:rPr>
                <w:rFonts w:hint="eastAsia" w:ascii="仿宋" w:hAnsi="仿宋" w:eastAsia="仿宋" w:cs="仿宋"/>
                <w:color w:val="auto"/>
                <w:sz w:val="24"/>
                <w:highlight w:val="none"/>
              </w:rPr>
              <w:t>管理</w:t>
            </w:r>
          </w:p>
          <w:p w14:paraId="7E69F582">
            <w:pPr>
              <w:jc w:val="center"/>
              <w:rPr>
                <w:rFonts w:ascii="仿宋" w:hAnsi="仿宋" w:eastAsia="仿宋" w:cs="仿宋"/>
                <w:color w:val="auto"/>
                <w:sz w:val="24"/>
                <w:highlight w:val="none"/>
              </w:rPr>
            </w:pPr>
            <w:r>
              <w:rPr>
                <w:rFonts w:hint="eastAsia" w:ascii="仿宋" w:hAnsi="仿宋" w:eastAsia="仿宋" w:cs="仿宋"/>
                <w:color w:val="auto"/>
                <w:sz w:val="24"/>
                <w:highlight w:val="none"/>
              </w:rPr>
              <w:t>人员</w:t>
            </w:r>
          </w:p>
        </w:tc>
        <w:tc>
          <w:tcPr>
            <w:tcW w:w="974" w:type="dxa"/>
          </w:tcPr>
          <w:p w14:paraId="253996CB">
            <w:pPr>
              <w:rPr>
                <w:rFonts w:ascii="仿宋" w:hAnsi="仿宋" w:eastAsia="仿宋" w:cs="仿宋"/>
                <w:color w:val="auto"/>
                <w:sz w:val="24"/>
                <w:highlight w:val="none"/>
              </w:rPr>
            </w:pPr>
          </w:p>
        </w:tc>
        <w:tc>
          <w:tcPr>
            <w:tcW w:w="972" w:type="dxa"/>
          </w:tcPr>
          <w:p w14:paraId="184F97CE">
            <w:pPr>
              <w:rPr>
                <w:rFonts w:ascii="仿宋" w:hAnsi="仿宋" w:eastAsia="仿宋" w:cs="仿宋"/>
                <w:color w:val="auto"/>
                <w:sz w:val="24"/>
                <w:highlight w:val="none"/>
              </w:rPr>
            </w:pPr>
          </w:p>
        </w:tc>
        <w:tc>
          <w:tcPr>
            <w:tcW w:w="974" w:type="dxa"/>
          </w:tcPr>
          <w:p w14:paraId="624BB42A">
            <w:pPr>
              <w:rPr>
                <w:rFonts w:ascii="仿宋" w:hAnsi="仿宋" w:eastAsia="仿宋" w:cs="仿宋"/>
                <w:color w:val="auto"/>
                <w:sz w:val="24"/>
                <w:highlight w:val="none"/>
              </w:rPr>
            </w:pPr>
          </w:p>
        </w:tc>
        <w:tc>
          <w:tcPr>
            <w:tcW w:w="973" w:type="dxa"/>
          </w:tcPr>
          <w:p w14:paraId="5CABAFDD">
            <w:pPr>
              <w:rPr>
                <w:rFonts w:ascii="仿宋" w:hAnsi="仿宋" w:eastAsia="仿宋" w:cs="仿宋"/>
                <w:color w:val="auto"/>
                <w:sz w:val="24"/>
                <w:highlight w:val="none"/>
              </w:rPr>
            </w:pPr>
          </w:p>
        </w:tc>
        <w:tc>
          <w:tcPr>
            <w:tcW w:w="974" w:type="dxa"/>
          </w:tcPr>
          <w:p w14:paraId="53427C32">
            <w:pPr>
              <w:rPr>
                <w:rFonts w:ascii="仿宋" w:hAnsi="仿宋" w:eastAsia="仿宋" w:cs="仿宋"/>
                <w:color w:val="auto"/>
                <w:sz w:val="24"/>
                <w:highlight w:val="none"/>
              </w:rPr>
            </w:pPr>
          </w:p>
        </w:tc>
        <w:tc>
          <w:tcPr>
            <w:tcW w:w="974" w:type="dxa"/>
          </w:tcPr>
          <w:p w14:paraId="3F5FDFDF">
            <w:pPr>
              <w:rPr>
                <w:rFonts w:ascii="仿宋" w:hAnsi="仿宋" w:eastAsia="仿宋" w:cs="仿宋"/>
                <w:color w:val="auto"/>
                <w:sz w:val="24"/>
                <w:highlight w:val="none"/>
              </w:rPr>
            </w:pPr>
          </w:p>
        </w:tc>
        <w:tc>
          <w:tcPr>
            <w:tcW w:w="972" w:type="dxa"/>
          </w:tcPr>
          <w:p w14:paraId="232CFA2A">
            <w:pPr>
              <w:rPr>
                <w:rFonts w:ascii="仿宋" w:hAnsi="仿宋" w:eastAsia="仿宋" w:cs="仿宋"/>
                <w:color w:val="auto"/>
                <w:sz w:val="24"/>
                <w:highlight w:val="none"/>
              </w:rPr>
            </w:pPr>
          </w:p>
        </w:tc>
        <w:tc>
          <w:tcPr>
            <w:tcW w:w="974" w:type="dxa"/>
          </w:tcPr>
          <w:p w14:paraId="16CD2C05">
            <w:pPr>
              <w:rPr>
                <w:rFonts w:ascii="仿宋" w:hAnsi="仿宋" w:eastAsia="仿宋" w:cs="仿宋"/>
                <w:color w:val="auto"/>
                <w:sz w:val="24"/>
                <w:highlight w:val="none"/>
              </w:rPr>
            </w:pPr>
          </w:p>
        </w:tc>
      </w:tr>
      <w:tr w14:paraId="1A82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continue"/>
            <w:vAlign w:val="center"/>
          </w:tcPr>
          <w:p w14:paraId="53F675E3">
            <w:pPr>
              <w:jc w:val="center"/>
              <w:rPr>
                <w:rFonts w:ascii="仿宋" w:hAnsi="仿宋" w:eastAsia="仿宋" w:cs="仿宋"/>
                <w:color w:val="auto"/>
                <w:sz w:val="24"/>
                <w:highlight w:val="none"/>
              </w:rPr>
            </w:pPr>
          </w:p>
        </w:tc>
        <w:tc>
          <w:tcPr>
            <w:tcW w:w="974" w:type="dxa"/>
          </w:tcPr>
          <w:p w14:paraId="0750A7F8">
            <w:pPr>
              <w:rPr>
                <w:rFonts w:ascii="仿宋" w:hAnsi="仿宋" w:eastAsia="仿宋" w:cs="仿宋"/>
                <w:color w:val="auto"/>
                <w:sz w:val="24"/>
                <w:highlight w:val="none"/>
              </w:rPr>
            </w:pPr>
          </w:p>
        </w:tc>
        <w:tc>
          <w:tcPr>
            <w:tcW w:w="972" w:type="dxa"/>
          </w:tcPr>
          <w:p w14:paraId="0F65071D">
            <w:pPr>
              <w:rPr>
                <w:rFonts w:ascii="仿宋" w:hAnsi="仿宋" w:eastAsia="仿宋" w:cs="仿宋"/>
                <w:color w:val="auto"/>
                <w:sz w:val="24"/>
                <w:highlight w:val="none"/>
              </w:rPr>
            </w:pPr>
          </w:p>
        </w:tc>
        <w:tc>
          <w:tcPr>
            <w:tcW w:w="974" w:type="dxa"/>
          </w:tcPr>
          <w:p w14:paraId="2640D1F1">
            <w:pPr>
              <w:rPr>
                <w:rFonts w:ascii="仿宋" w:hAnsi="仿宋" w:eastAsia="仿宋" w:cs="仿宋"/>
                <w:color w:val="auto"/>
                <w:sz w:val="24"/>
                <w:highlight w:val="none"/>
              </w:rPr>
            </w:pPr>
          </w:p>
        </w:tc>
        <w:tc>
          <w:tcPr>
            <w:tcW w:w="973" w:type="dxa"/>
          </w:tcPr>
          <w:p w14:paraId="63839C51">
            <w:pPr>
              <w:rPr>
                <w:rFonts w:ascii="仿宋" w:hAnsi="仿宋" w:eastAsia="仿宋" w:cs="仿宋"/>
                <w:color w:val="auto"/>
                <w:sz w:val="24"/>
                <w:highlight w:val="none"/>
              </w:rPr>
            </w:pPr>
          </w:p>
        </w:tc>
        <w:tc>
          <w:tcPr>
            <w:tcW w:w="974" w:type="dxa"/>
          </w:tcPr>
          <w:p w14:paraId="0806CFF7">
            <w:pPr>
              <w:rPr>
                <w:rFonts w:ascii="仿宋" w:hAnsi="仿宋" w:eastAsia="仿宋" w:cs="仿宋"/>
                <w:color w:val="auto"/>
                <w:sz w:val="24"/>
                <w:highlight w:val="none"/>
              </w:rPr>
            </w:pPr>
          </w:p>
        </w:tc>
        <w:tc>
          <w:tcPr>
            <w:tcW w:w="974" w:type="dxa"/>
          </w:tcPr>
          <w:p w14:paraId="431CC1A9">
            <w:pPr>
              <w:rPr>
                <w:rFonts w:ascii="仿宋" w:hAnsi="仿宋" w:eastAsia="仿宋" w:cs="仿宋"/>
                <w:color w:val="auto"/>
                <w:sz w:val="24"/>
                <w:highlight w:val="none"/>
              </w:rPr>
            </w:pPr>
          </w:p>
        </w:tc>
        <w:tc>
          <w:tcPr>
            <w:tcW w:w="972" w:type="dxa"/>
          </w:tcPr>
          <w:p w14:paraId="3FF848BF">
            <w:pPr>
              <w:rPr>
                <w:rFonts w:ascii="仿宋" w:hAnsi="仿宋" w:eastAsia="仿宋" w:cs="仿宋"/>
                <w:color w:val="auto"/>
                <w:sz w:val="24"/>
                <w:highlight w:val="none"/>
              </w:rPr>
            </w:pPr>
          </w:p>
        </w:tc>
        <w:tc>
          <w:tcPr>
            <w:tcW w:w="974" w:type="dxa"/>
          </w:tcPr>
          <w:p w14:paraId="6A293BD9">
            <w:pPr>
              <w:rPr>
                <w:rFonts w:ascii="仿宋" w:hAnsi="仿宋" w:eastAsia="仿宋" w:cs="仿宋"/>
                <w:color w:val="auto"/>
                <w:sz w:val="24"/>
                <w:highlight w:val="none"/>
              </w:rPr>
            </w:pPr>
          </w:p>
        </w:tc>
      </w:tr>
      <w:tr w14:paraId="1C30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continue"/>
            <w:vAlign w:val="center"/>
          </w:tcPr>
          <w:p w14:paraId="40D98806">
            <w:pPr>
              <w:jc w:val="center"/>
              <w:rPr>
                <w:rFonts w:ascii="仿宋" w:hAnsi="仿宋" w:eastAsia="仿宋" w:cs="仿宋"/>
                <w:color w:val="auto"/>
                <w:sz w:val="24"/>
                <w:highlight w:val="none"/>
              </w:rPr>
            </w:pPr>
          </w:p>
        </w:tc>
        <w:tc>
          <w:tcPr>
            <w:tcW w:w="974" w:type="dxa"/>
          </w:tcPr>
          <w:p w14:paraId="72B54938">
            <w:pPr>
              <w:rPr>
                <w:rFonts w:ascii="仿宋" w:hAnsi="仿宋" w:eastAsia="仿宋" w:cs="仿宋"/>
                <w:color w:val="auto"/>
                <w:sz w:val="24"/>
                <w:highlight w:val="none"/>
              </w:rPr>
            </w:pPr>
          </w:p>
        </w:tc>
        <w:tc>
          <w:tcPr>
            <w:tcW w:w="972" w:type="dxa"/>
          </w:tcPr>
          <w:p w14:paraId="486F7916">
            <w:pPr>
              <w:rPr>
                <w:rFonts w:ascii="仿宋" w:hAnsi="仿宋" w:eastAsia="仿宋" w:cs="仿宋"/>
                <w:color w:val="auto"/>
                <w:sz w:val="24"/>
                <w:highlight w:val="none"/>
              </w:rPr>
            </w:pPr>
          </w:p>
        </w:tc>
        <w:tc>
          <w:tcPr>
            <w:tcW w:w="974" w:type="dxa"/>
          </w:tcPr>
          <w:p w14:paraId="7D5735AB">
            <w:pPr>
              <w:rPr>
                <w:rFonts w:ascii="仿宋" w:hAnsi="仿宋" w:eastAsia="仿宋" w:cs="仿宋"/>
                <w:color w:val="auto"/>
                <w:sz w:val="24"/>
                <w:highlight w:val="none"/>
              </w:rPr>
            </w:pPr>
          </w:p>
        </w:tc>
        <w:tc>
          <w:tcPr>
            <w:tcW w:w="973" w:type="dxa"/>
          </w:tcPr>
          <w:p w14:paraId="1A06FACC">
            <w:pPr>
              <w:rPr>
                <w:rFonts w:ascii="仿宋" w:hAnsi="仿宋" w:eastAsia="仿宋" w:cs="仿宋"/>
                <w:color w:val="auto"/>
                <w:sz w:val="24"/>
                <w:highlight w:val="none"/>
              </w:rPr>
            </w:pPr>
          </w:p>
        </w:tc>
        <w:tc>
          <w:tcPr>
            <w:tcW w:w="974" w:type="dxa"/>
          </w:tcPr>
          <w:p w14:paraId="7D4F3935">
            <w:pPr>
              <w:rPr>
                <w:rFonts w:ascii="仿宋" w:hAnsi="仿宋" w:eastAsia="仿宋" w:cs="仿宋"/>
                <w:color w:val="auto"/>
                <w:sz w:val="24"/>
                <w:highlight w:val="none"/>
              </w:rPr>
            </w:pPr>
          </w:p>
        </w:tc>
        <w:tc>
          <w:tcPr>
            <w:tcW w:w="974" w:type="dxa"/>
          </w:tcPr>
          <w:p w14:paraId="2A208562">
            <w:pPr>
              <w:rPr>
                <w:rFonts w:ascii="仿宋" w:hAnsi="仿宋" w:eastAsia="仿宋" w:cs="仿宋"/>
                <w:color w:val="auto"/>
                <w:sz w:val="24"/>
                <w:highlight w:val="none"/>
              </w:rPr>
            </w:pPr>
          </w:p>
        </w:tc>
        <w:tc>
          <w:tcPr>
            <w:tcW w:w="972" w:type="dxa"/>
          </w:tcPr>
          <w:p w14:paraId="643D29F7">
            <w:pPr>
              <w:rPr>
                <w:rFonts w:ascii="仿宋" w:hAnsi="仿宋" w:eastAsia="仿宋" w:cs="仿宋"/>
                <w:color w:val="auto"/>
                <w:sz w:val="24"/>
                <w:highlight w:val="none"/>
              </w:rPr>
            </w:pPr>
          </w:p>
        </w:tc>
        <w:tc>
          <w:tcPr>
            <w:tcW w:w="974" w:type="dxa"/>
          </w:tcPr>
          <w:p w14:paraId="4D474107">
            <w:pPr>
              <w:rPr>
                <w:rFonts w:ascii="仿宋" w:hAnsi="仿宋" w:eastAsia="仿宋" w:cs="仿宋"/>
                <w:color w:val="auto"/>
                <w:sz w:val="24"/>
                <w:highlight w:val="none"/>
              </w:rPr>
            </w:pPr>
          </w:p>
        </w:tc>
      </w:tr>
      <w:tr w14:paraId="353E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restart"/>
            <w:vAlign w:val="center"/>
          </w:tcPr>
          <w:p w14:paraId="26528BB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技术</w:t>
            </w:r>
          </w:p>
          <w:p w14:paraId="1B8E16D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人员</w:t>
            </w:r>
          </w:p>
        </w:tc>
        <w:tc>
          <w:tcPr>
            <w:tcW w:w="974" w:type="dxa"/>
          </w:tcPr>
          <w:p w14:paraId="5EF5D856">
            <w:pPr>
              <w:rPr>
                <w:rFonts w:ascii="仿宋" w:hAnsi="仿宋" w:eastAsia="仿宋" w:cs="仿宋"/>
                <w:color w:val="auto"/>
                <w:sz w:val="24"/>
                <w:highlight w:val="none"/>
              </w:rPr>
            </w:pPr>
          </w:p>
        </w:tc>
        <w:tc>
          <w:tcPr>
            <w:tcW w:w="972" w:type="dxa"/>
          </w:tcPr>
          <w:p w14:paraId="659291A6">
            <w:pPr>
              <w:rPr>
                <w:rFonts w:ascii="仿宋" w:hAnsi="仿宋" w:eastAsia="仿宋" w:cs="仿宋"/>
                <w:color w:val="auto"/>
                <w:sz w:val="24"/>
                <w:highlight w:val="none"/>
              </w:rPr>
            </w:pPr>
          </w:p>
        </w:tc>
        <w:tc>
          <w:tcPr>
            <w:tcW w:w="974" w:type="dxa"/>
          </w:tcPr>
          <w:p w14:paraId="4BF04688">
            <w:pPr>
              <w:rPr>
                <w:rFonts w:ascii="仿宋" w:hAnsi="仿宋" w:eastAsia="仿宋" w:cs="仿宋"/>
                <w:color w:val="auto"/>
                <w:sz w:val="24"/>
                <w:highlight w:val="none"/>
              </w:rPr>
            </w:pPr>
          </w:p>
        </w:tc>
        <w:tc>
          <w:tcPr>
            <w:tcW w:w="973" w:type="dxa"/>
          </w:tcPr>
          <w:p w14:paraId="40D683F3">
            <w:pPr>
              <w:rPr>
                <w:rFonts w:ascii="仿宋" w:hAnsi="仿宋" w:eastAsia="仿宋" w:cs="仿宋"/>
                <w:color w:val="auto"/>
                <w:sz w:val="24"/>
                <w:highlight w:val="none"/>
              </w:rPr>
            </w:pPr>
          </w:p>
        </w:tc>
        <w:tc>
          <w:tcPr>
            <w:tcW w:w="974" w:type="dxa"/>
          </w:tcPr>
          <w:p w14:paraId="375BEE38">
            <w:pPr>
              <w:rPr>
                <w:rFonts w:ascii="仿宋" w:hAnsi="仿宋" w:eastAsia="仿宋" w:cs="仿宋"/>
                <w:color w:val="auto"/>
                <w:sz w:val="24"/>
                <w:highlight w:val="none"/>
              </w:rPr>
            </w:pPr>
          </w:p>
        </w:tc>
        <w:tc>
          <w:tcPr>
            <w:tcW w:w="974" w:type="dxa"/>
          </w:tcPr>
          <w:p w14:paraId="20F28903">
            <w:pPr>
              <w:rPr>
                <w:rFonts w:ascii="仿宋" w:hAnsi="仿宋" w:eastAsia="仿宋" w:cs="仿宋"/>
                <w:color w:val="auto"/>
                <w:sz w:val="24"/>
                <w:highlight w:val="none"/>
              </w:rPr>
            </w:pPr>
          </w:p>
        </w:tc>
        <w:tc>
          <w:tcPr>
            <w:tcW w:w="972" w:type="dxa"/>
          </w:tcPr>
          <w:p w14:paraId="19A1257A">
            <w:pPr>
              <w:rPr>
                <w:rFonts w:ascii="仿宋" w:hAnsi="仿宋" w:eastAsia="仿宋" w:cs="仿宋"/>
                <w:color w:val="auto"/>
                <w:sz w:val="24"/>
                <w:highlight w:val="none"/>
              </w:rPr>
            </w:pPr>
          </w:p>
        </w:tc>
        <w:tc>
          <w:tcPr>
            <w:tcW w:w="974" w:type="dxa"/>
          </w:tcPr>
          <w:p w14:paraId="3FB3EDA1">
            <w:pPr>
              <w:rPr>
                <w:rFonts w:ascii="仿宋" w:hAnsi="仿宋" w:eastAsia="仿宋" w:cs="仿宋"/>
                <w:color w:val="auto"/>
                <w:sz w:val="24"/>
                <w:highlight w:val="none"/>
              </w:rPr>
            </w:pPr>
          </w:p>
        </w:tc>
      </w:tr>
      <w:tr w14:paraId="7A26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continue"/>
            <w:vAlign w:val="center"/>
          </w:tcPr>
          <w:p w14:paraId="03D27222">
            <w:pPr>
              <w:jc w:val="center"/>
              <w:rPr>
                <w:rFonts w:ascii="仿宋" w:hAnsi="仿宋" w:eastAsia="仿宋" w:cs="仿宋"/>
                <w:color w:val="auto"/>
                <w:sz w:val="24"/>
                <w:highlight w:val="none"/>
              </w:rPr>
            </w:pPr>
          </w:p>
        </w:tc>
        <w:tc>
          <w:tcPr>
            <w:tcW w:w="974" w:type="dxa"/>
          </w:tcPr>
          <w:p w14:paraId="3FBD513C">
            <w:pPr>
              <w:rPr>
                <w:rFonts w:ascii="仿宋" w:hAnsi="仿宋" w:eastAsia="仿宋" w:cs="仿宋"/>
                <w:color w:val="auto"/>
                <w:sz w:val="24"/>
                <w:highlight w:val="none"/>
              </w:rPr>
            </w:pPr>
          </w:p>
        </w:tc>
        <w:tc>
          <w:tcPr>
            <w:tcW w:w="972" w:type="dxa"/>
          </w:tcPr>
          <w:p w14:paraId="644A0A36">
            <w:pPr>
              <w:rPr>
                <w:rFonts w:ascii="仿宋" w:hAnsi="仿宋" w:eastAsia="仿宋" w:cs="仿宋"/>
                <w:color w:val="auto"/>
                <w:sz w:val="24"/>
                <w:highlight w:val="none"/>
              </w:rPr>
            </w:pPr>
          </w:p>
        </w:tc>
        <w:tc>
          <w:tcPr>
            <w:tcW w:w="974" w:type="dxa"/>
          </w:tcPr>
          <w:p w14:paraId="73AE5520">
            <w:pPr>
              <w:rPr>
                <w:rFonts w:ascii="仿宋" w:hAnsi="仿宋" w:eastAsia="仿宋" w:cs="仿宋"/>
                <w:color w:val="auto"/>
                <w:sz w:val="24"/>
                <w:highlight w:val="none"/>
              </w:rPr>
            </w:pPr>
          </w:p>
        </w:tc>
        <w:tc>
          <w:tcPr>
            <w:tcW w:w="973" w:type="dxa"/>
          </w:tcPr>
          <w:p w14:paraId="2C29704E">
            <w:pPr>
              <w:rPr>
                <w:rFonts w:ascii="仿宋" w:hAnsi="仿宋" w:eastAsia="仿宋" w:cs="仿宋"/>
                <w:color w:val="auto"/>
                <w:sz w:val="24"/>
                <w:highlight w:val="none"/>
              </w:rPr>
            </w:pPr>
          </w:p>
        </w:tc>
        <w:tc>
          <w:tcPr>
            <w:tcW w:w="974" w:type="dxa"/>
          </w:tcPr>
          <w:p w14:paraId="20BF3BBF">
            <w:pPr>
              <w:rPr>
                <w:rFonts w:ascii="仿宋" w:hAnsi="仿宋" w:eastAsia="仿宋" w:cs="仿宋"/>
                <w:color w:val="auto"/>
                <w:sz w:val="24"/>
                <w:highlight w:val="none"/>
              </w:rPr>
            </w:pPr>
          </w:p>
        </w:tc>
        <w:tc>
          <w:tcPr>
            <w:tcW w:w="974" w:type="dxa"/>
          </w:tcPr>
          <w:p w14:paraId="625A3121">
            <w:pPr>
              <w:rPr>
                <w:rFonts w:ascii="仿宋" w:hAnsi="仿宋" w:eastAsia="仿宋" w:cs="仿宋"/>
                <w:color w:val="auto"/>
                <w:sz w:val="24"/>
                <w:highlight w:val="none"/>
              </w:rPr>
            </w:pPr>
          </w:p>
        </w:tc>
        <w:tc>
          <w:tcPr>
            <w:tcW w:w="972" w:type="dxa"/>
          </w:tcPr>
          <w:p w14:paraId="0CA7603E">
            <w:pPr>
              <w:rPr>
                <w:rFonts w:ascii="仿宋" w:hAnsi="仿宋" w:eastAsia="仿宋" w:cs="仿宋"/>
                <w:color w:val="auto"/>
                <w:sz w:val="24"/>
                <w:highlight w:val="none"/>
              </w:rPr>
            </w:pPr>
          </w:p>
        </w:tc>
        <w:tc>
          <w:tcPr>
            <w:tcW w:w="974" w:type="dxa"/>
          </w:tcPr>
          <w:p w14:paraId="4F149589">
            <w:pPr>
              <w:rPr>
                <w:rFonts w:ascii="仿宋" w:hAnsi="仿宋" w:eastAsia="仿宋" w:cs="仿宋"/>
                <w:color w:val="auto"/>
                <w:sz w:val="24"/>
                <w:highlight w:val="none"/>
              </w:rPr>
            </w:pPr>
          </w:p>
        </w:tc>
      </w:tr>
      <w:tr w14:paraId="02EF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continue"/>
            <w:vAlign w:val="center"/>
          </w:tcPr>
          <w:p w14:paraId="2BEAC9A6">
            <w:pPr>
              <w:jc w:val="center"/>
              <w:rPr>
                <w:rFonts w:ascii="仿宋" w:hAnsi="仿宋" w:eastAsia="仿宋" w:cs="仿宋"/>
                <w:color w:val="auto"/>
                <w:sz w:val="24"/>
                <w:highlight w:val="none"/>
              </w:rPr>
            </w:pPr>
          </w:p>
        </w:tc>
        <w:tc>
          <w:tcPr>
            <w:tcW w:w="974" w:type="dxa"/>
          </w:tcPr>
          <w:p w14:paraId="487E5C01">
            <w:pPr>
              <w:rPr>
                <w:rFonts w:ascii="仿宋" w:hAnsi="仿宋" w:eastAsia="仿宋" w:cs="仿宋"/>
                <w:color w:val="auto"/>
                <w:sz w:val="24"/>
                <w:highlight w:val="none"/>
              </w:rPr>
            </w:pPr>
          </w:p>
        </w:tc>
        <w:tc>
          <w:tcPr>
            <w:tcW w:w="972" w:type="dxa"/>
          </w:tcPr>
          <w:p w14:paraId="383343EF">
            <w:pPr>
              <w:rPr>
                <w:rFonts w:ascii="仿宋" w:hAnsi="仿宋" w:eastAsia="仿宋" w:cs="仿宋"/>
                <w:color w:val="auto"/>
                <w:sz w:val="24"/>
                <w:highlight w:val="none"/>
              </w:rPr>
            </w:pPr>
          </w:p>
        </w:tc>
        <w:tc>
          <w:tcPr>
            <w:tcW w:w="974" w:type="dxa"/>
          </w:tcPr>
          <w:p w14:paraId="6F5DD73F">
            <w:pPr>
              <w:rPr>
                <w:rFonts w:ascii="仿宋" w:hAnsi="仿宋" w:eastAsia="仿宋" w:cs="仿宋"/>
                <w:color w:val="auto"/>
                <w:sz w:val="24"/>
                <w:highlight w:val="none"/>
              </w:rPr>
            </w:pPr>
          </w:p>
        </w:tc>
        <w:tc>
          <w:tcPr>
            <w:tcW w:w="973" w:type="dxa"/>
          </w:tcPr>
          <w:p w14:paraId="23DA382A">
            <w:pPr>
              <w:rPr>
                <w:rFonts w:ascii="仿宋" w:hAnsi="仿宋" w:eastAsia="仿宋" w:cs="仿宋"/>
                <w:color w:val="auto"/>
                <w:sz w:val="24"/>
                <w:highlight w:val="none"/>
              </w:rPr>
            </w:pPr>
          </w:p>
        </w:tc>
        <w:tc>
          <w:tcPr>
            <w:tcW w:w="974" w:type="dxa"/>
          </w:tcPr>
          <w:p w14:paraId="7E4C3358">
            <w:pPr>
              <w:rPr>
                <w:rFonts w:ascii="仿宋" w:hAnsi="仿宋" w:eastAsia="仿宋" w:cs="仿宋"/>
                <w:color w:val="auto"/>
                <w:sz w:val="24"/>
                <w:highlight w:val="none"/>
              </w:rPr>
            </w:pPr>
          </w:p>
        </w:tc>
        <w:tc>
          <w:tcPr>
            <w:tcW w:w="974" w:type="dxa"/>
          </w:tcPr>
          <w:p w14:paraId="3603BD60">
            <w:pPr>
              <w:rPr>
                <w:rFonts w:ascii="仿宋" w:hAnsi="仿宋" w:eastAsia="仿宋" w:cs="仿宋"/>
                <w:color w:val="auto"/>
                <w:sz w:val="24"/>
                <w:highlight w:val="none"/>
              </w:rPr>
            </w:pPr>
          </w:p>
        </w:tc>
        <w:tc>
          <w:tcPr>
            <w:tcW w:w="972" w:type="dxa"/>
          </w:tcPr>
          <w:p w14:paraId="4B378C19">
            <w:pPr>
              <w:rPr>
                <w:rFonts w:ascii="仿宋" w:hAnsi="仿宋" w:eastAsia="仿宋" w:cs="仿宋"/>
                <w:color w:val="auto"/>
                <w:sz w:val="24"/>
                <w:highlight w:val="none"/>
              </w:rPr>
            </w:pPr>
          </w:p>
        </w:tc>
        <w:tc>
          <w:tcPr>
            <w:tcW w:w="974" w:type="dxa"/>
          </w:tcPr>
          <w:p w14:paraId="14138A9C">
            <w:pPr>
              <w:rPr>
                <w:rFonts w:ascii="仿宋" w:hAnsi="仿宋" w:eastAsia="仿宋" w:cs="仿宋"/>
                <w:color w:val="auto"/>
                <w:sz w:val="24"/>
                <w:highlight w:val="none"/>
              </w:rPr>
            </w:pPr>
          </w:p>
        </w:tc>
      </w:tr>
      <w:tr w14:paraId="41E0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restart"/>
            <w:vAlign w:val="center"/>
          </w:tcPr>
          <w:p w14:paraId="4D5BE32D">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售后服务人员</w:t>
            </w:r>
          </w:p>
        </w:tc>
        <w:tc>
          <w:tcPr>
            <w:tcW w:w="974" w:type="dxa"/>
          </w:tcPr>
          <w:p w14:paraId="128FEF4F">
            <w:pPr>
              <w:rPr>
                <w:rFonts w:ascii="仿宋" w:hAnsi="仿宋" w:eastAsia="仿宋" w:cs="仿宋"/>
                <w:color w:val="auto"/>
                <w:sz w:val="24"/>
                <w:highlight w:val="none"/>
              </w:rPr>
            </w:pPr>
          </w:p>
        </w:tc>
        <w:tc>
          <w:tcPr>
            <w:tcW w:w="972" w:type="dxa"/>
          </w:tcPr>
          <w:p w14:paraId="3F3EEA62">
            <w:pPr>
              <w:rPr>
                <w:rFonts w:ascii="仿宋" w:hAnsi="仿宋" w:eastAsia="仿宋" w:cs="仿宋"/>
                <w:color w:val="auto"/>
                <w:sz w:val="24"/>
                <w:highlight w:val="none"/>
              </w:rPr>
            </w:pPr>
          </w:p>
        </w:tc>
        <w:tc>
          <w:tcPr>
            <w:tcW w:w="974" w:type="dxa"/>
          </w:tcPr>
          <w:p w14:paraId="376E90CA">
            <w:pPr>
              <w:rPr>
                <w:rFonts w:ascii="仿宋" w:hAnsi="仿宋" w:eastAsia="仿宋" w:cs="仿宋"/>
                <w:color w:val="auto"/>
                <w:sz w:val="24"/>
                <w:highlight w:val="none"/>
              </w:rPr>
            </w:pPr>
          </w:p>
        </w:tc>
        <w:tc>
          <w:tcPr>
            <w:tcW w:w="973" w:type="dxa"/>
          </w:tcPr>
          <w:p w14:paraId="51CFE3BC">
            <w:pPr>
              <w:rPr>
                <w:rFonts w:ascii="仿宋" w:hAnsi="仿宋" w:eastAsia="仿宋" w:cs="仿宋"/>
                <w:color w:val="auto"/>
                <w:sz w:val="24"/>
                <w:highlight w:val="none"/>
              </w:rPr>
            </w:pPr>
          </w:p>
        </w:tc>
        <w:tc>
          <w:tcPr>
            <w:tcW w:w="974" w:type="dxa"/>
          </w:tcPr>
          <w:p w14:paraId="39D94C2F">
            <w:pPr>
              <w:rPr>
                <w:rFonts w:ascii="仿宋" w:hAnsi="仿宋" w:eastAsia="仿宋" w:cs="仿宋"/>
                <w:color w:val="auto"/>
                <w:sz w:val="24"/>
                <w:highlight w:val="none"/>
              </w:rPr>
            </w:pPr>
          </w:p>
        </w:tc>
        <w:tc>
          <w:tcPr>
            <w:tcW w:w="974" w:type="dxa"/>
          </w:tcPr>
          <w:p w14:paraId="5CF0F4B2">
            <w:pPr>
              <w:rPr>
                <w:rFonts w:ascii="仿宋" w:hAnsi="仿宋" w:eastAsia="仿宋" w:cs="仿宋"/>
                <w:color w:val="auto"/>
                <w:sz w:val="24"/>
                <w:highlight w:val="none"/>
              </w:rPr>
            </w:pPr>
          </w:p>
        </w:tc>
        <w:tc>
          <w:tcPr>
            <w:tcW w:w="972" w:type="dxa"/>
          </w:tcPr>
          <w:p w14:paraId="57FF4C67">
            <w:pPr>
              <w:rPr>
                <w:rFonts w:ascii="仿宋" w:hAnsi="仿宋" w:eastAsia="仿宋" w:cs="仿宋"/>
                <w:color w:val="auto"/>
                <w:sz w:val="24"/>
                <w:highlight w:val="none"/>
              </w:rPr>
            </w:pPr>
          </w:p>
        </w:tc>
        <w:tc>
          <w:tcPr>
            <w:tcW w:w="974" w:type="dxa"/>
          </w:tcPr>
          <w:p w14:paraId="78828B77">
            <w:pPr>
              <w:rPr>
                <w:rFonts w:ascii="仿宋" w:hAnsi="仿宋" w:eastAsia="仿宋" w:cs="仿宋"/>
                <w:color w:val="auto"/>
                <w:sz w:val="24"/>
                <w:highlight w:val="none"/>
              </w:rPr>
            </w:pPr>
          </w:p>
        </w:tc>
      </w:tr>
      <w:tr w14:paraId="03AE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73" w:type="dxa"/>
            <w:vMerge w:val="continue"/>
          </w:tcPr>
          <w:p w14:paraId="7EC6A67D">
            <w:pPr>
              <w:rPr>
                <w:rFonts w:ascii="仿宋" w:hAnsi="仿宋" w:eastAsia="仿宋" w:cs="仿宋"/>
                <w:color w:val="auto"/>
                <w:sz w:val="24"/>
                <w:highlight w:val="none"/>
              </w:rPr>
            </w:pPr>
          </w:p>
        </w:tc>
        <w:tc>
          <w:tcPr>
            <w:tcW w:w="974" w:type="dxa"/>
          </w:tcPr>
          <w:p w14:paraId="4EFCAA0B">
            <w:pPr>
              <w:rPr>
                <w:rFonts w:ascii="仿宋" w:hAnsi="仿宋" w:eastAsia="仿宋" w:cs="仿宋"/>
                <w:color w:val="auto"/>
                <w:sz w:val="24"/>
                <w:highlight w:val="none"/>
              </w:rPr>
            </w:pPr>
          </w:p>
        </w:tc>
        <w:tc>
          <w:tcPr>
            <w:tcW w:w="972" w:type="dxa"/>
          </w:tcPr>
          <w:p w14:paraId="56A22D26">
            <w:pPr>
              <w:rPr>
                <w:rFonts w:ascii="仿宋" w:hAnsi="仿宋" w:eastAsia="仿宋" w:cs="仿宋"/>
                <w:color w:val="auto"/>
                <w:sz w:val="24"/>
                <w:highlight w:val="none"/>
              </w:rPr>
            </w:pPr>
          </w:p>
        </w:tc>
        <w:tc>
          <w:tcPr>
            <w:tcW w:w="974" w:type="dxa"/>
          </w:tcPr>
          <w:p w14:paraId="7297070F">
            <w:pPr>
              <w:rPr>
                <w:rFonts w:ascii="仿宋" w:hAnsi="仿宋" w:eastAsia="仿宋" w:cs="仿宋"/>
                <w:color w:val="auto"/>
                <w:sz w:val="24"/>
                <w:highlight w:val="none"/>
              </w:rPr>
            </w:pPr>
          </w:p>
        </w:tc>
        <w:tc>
          <w:tcPr>
            <w:tcW w:w="973" w:type="dxa"/>
          </w:tcPr>
          <w:p w14:paraId="616F31FA">
            <w:pPr>
              <w:rPr>
                <w:rFonts w:ascii="仿宋" w:hAnsi="仿宋" w:eastAsia="仿宋" w:cs="仿宋"/>
                <w:color w:val="auto"/>
                <w:sz w:val="24"/>
                <w:highlight w:val="none"/>
              </w:rPr>
            </w:pPr>
          </w:p>
        </w:tc>
        <w:tc>
          <w:tcPr>
            <w:tcW w:w="974" w:type="dxa"/>
          </w:tcPr>
          <w:p w14:paraId="6147258B">
            <w:pPr>
              <w:rPr>
                <w:rFonts w:ascii="仿宋" w:hAnsi="仿宋" w:eastAsia="仿宋" w:cs="仿宋"/>
                <w:color w:val="auto"/>
                <w:sz w:val="24"/>
                <w:highlight w:val="none"/>
              </w:rPr>
            </w:pPr>
          </w:p>
        </w:tc>
        <w:tc>
          <w:tcPr>
            <w:tcW w:w="974" w:type="dxa"/>
          </w:tcPr>
          <w:p w14:paraId="24104C3B">
            <w:pPr>
              <w:rPr>
                <w:rFonts w:ascii="仿宋" w:hAnsi="仿宋" w:eastAsia="仿宋" w:cs="仿宋"/>
                <w:color w:val="auto"/>
                <w:sz w:val="24"/>
                <w:highlight w:val="none"/>
              </w:rPr>
            </w:pPr>
          </w:p>
        </w:tc>
        <w:tc>
          <w:tcPr>
            <w:tcW w:w="972" w:type="dxa"/>
          </w:tcPr>
          <w:p w14:paraId="690758B2">
            <w:pPr>
              <w:rPr>
                <w:rFonts w:ascii="仿宋" w:hAnsi="仿宋" w:eastAsia="仿宋" w:cs="仿宋"/>
                <w:color w:val="auto"/>
                <w:sz w:val="24"/>
                <w:highlight w:val="none"/>
              </w:rPr>
            </w:pPr>
          </w:p>
        </w:tc>
        <w:tc>
          <w:tcPr>
            <w:tcW w:w="974" w:type="dxa"/>
          </w:tcPr>
          <w:p w14:paraId="7A4F66F4">
            <w:pPr>
              <w:rPr>
                <w:rFonts w:ascii="仿宋" w:hAnsi="仿宋" w:eastAsia="仿宋" w:cs="仿宋"/>
                <w:color w:val="auto"/>
                <w:sz w:val="24"/>
                <w:highlight w:val="none"/>
              </w:rPr>
            </w:pPr>
          </w:p>
        </w:tc>
      </w:tr>
      <w:tr w14:paraId="3275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3" w:type="dxa"/>
            <w:vMerge w:val="continue"/>
          </w:tcPr>
          <w:p w14:paraId="332F691E">
            <w:pPr>
              <w:rPr>
                <w:rFonts w:ascii="仿宋" w:hAnsi="仿宋" w:eastAsia="仿宋" w:cs="仿宋"/>
                <w:color w:val="auto"/>
                <w:sz w:val="24"/>
                <w:highlight w:val="none"/>
              </w:rPr>
            </w:pPr>
          </w:p>
        </w:tc>
        <w:tc>
          <w:tcPr>
            <w:tcW w:w="974" w:type="dxa"/>
          </w:tcPr>
          <w:p w14:paraId="267AD135">
            <w:pPr>
              <w:rPr>
                <w:rFonts w:ascii="仿宋" w:hAnsi="仿宋" w:eastAsia="仿宋" w:cs="仿宋"/>
                <w:color w:val="auto"/>
                <w:sz w:val="24"/>
                <w:highlight w:val="none"/>
              </w:rPr>
            </w:pPr>
          </w:p>
        </w:tc>
        <w:tc>
          <w:tcPr>
            <w:tcW w:w="972" w:type="dxa"/>
          </w:tcPr>
          <w:p w14:paraId="02FA51CD">
            <w:pPr>
              <w:rPr>
                <w:rFonts w:ascii="仿宋" w:hAnsi="仿宋" w:eastAsia="仿宋" w:cs="仿宋"/>
                <w:color w:val="auto"/>
                <w:sz w:val="24"/>
                <w:highlight w:val="none"/>
              </w:rPr>
            </w:pPr>
          </w:p>
        </w:tc>
        <w:tc>
          <w:tcPr>
            <w:tcW w:w="974" w:type="dxa"/>
          </w:tcPr>
          <w:p w14:paraId="2B1FCE7B">
            <w:pPr>
              <w:rPr>
                <w:rFonts w:ascii="仿宋" w:hAnsi="仿宋" w:eastAsia="仿宋" w:cs="仿宋"/>
                <w:color w:val="auto"/>
                <w:sz w:val="24"/>
                <w:highlight w:val="none"/>
              </w:rPr>
            </w:pPr>
          </w:p>
        </w:tc>
        <w:tc>
          <w:tcPr>
            <w:tcW w:w="973" w:type="dxa"/>
          </w:tcPr>
          <w:p w14:paraId="64D42E55">
            <w:pPr>
              <w:rPr>
                <w:rFonts w:ascii="仿宋" w:hAnsi="仿宋" w:eastAsia="仿宋" w:cs="仿宋"/>
                <w:color w:val="auto"/>
                <w:sz w:val="24"/>
                <w:highlight w:val="none"/>
              </w:rPr>
            </w:pPr>
          </w:p>
        </w:tc>
        <w:tc>
          <w:tcPr>
            <w:tcW w:w="974" w:type="dxa"/>
          </w:tcPr>
          <w:p w14:paraId="58D4D0B6">
            <w:pPr>
              <w:rPr>
                <w:rFonts w:ascii="仿宋" w:hAnsi="仿宋" w:eastAsia="仿宋" w:cs="仿宋"/>
                <w:color w:val="auto"/>
                <w:sz w:val="24"/>
                <w:highlight w:val="none"/>
              </w:rPr>
            </w:pPr>
          </w:p>
        </w:tc>
        <w:tc>
          <w:tcPr>
            <w:tcW w:w="974" w:type="dxa"/>
          </w:tcPr>
          <w:p w14:paraId="2ED74DC4">
            <w:pPr>
              <w:rPr>
                <w:rFonts w:ascii="仿宋" w:hAnsi="仿宋" w:eastAsia="仿宋" w:cs="仿宋"/>
                <w:color w:val="auto"/>
                <w:sz w:val="24"/>
                <w:highlight w:val="none"/>
              </w:rPr>
            </w:pPr>
          </w:p>
        </w:tc>
        <w:tc>
          <w:tcPr>
            <w:tcW w:w="972" w:type="dxa"/>
          </w:tcPr>
          <w:p w14:paraId="1B074559">
            <w:pPr>
              <w:rPr>
                <w:rFonts w:ascii="仿宋" w:hAnsi="仿宋" w:eastAsia="仿宋" w:cs="仿宋"/>
                <w:color w:val="auto"/>
                <w:sz w:val="24"/>
                <w:highlight w:val="none"/>
              </w:rPr>
            </w:pPr>
          </w:p>
        </w:tc>
        <w:tc>
          <w:tcPr>
            <w:tcW w:w="974" w:type="dxa"/>
          </w:tcPr>
          <w:p w14:paraId="038CB07E">
            <w:pPr>
              <w:rPr>
                <w:rFonts w:ascii="仿宋" w:hAnsi="仿宋" w:eastAsia="仿宋" w:cs="仿宋"/>
                <w:color w:val="auto"/>
                <w:sz w:val="24"/>
                <w:highlight w:val="none"/>
              </w:rPr>
            </w:pPr>
          </w:p>
        </w:tc>
      </w:tr>
    </w:tbl>
    <w:p w14:paraId="774C7BA4">
      <w:pPr>
        <w:widowControl/>
        <w:numPr>
          <w:ilvl w:val="0"/>
          <w:numId w:val="0"/>
        </w:numPr>
        <w:adjustRightInd w:val="0"/>
        <w:snapToGrid w:val="0"/>
        <w:spacing w:beforeLines="0" w:afterLines="0" w:line="240" w:lineRule="auto"/>
        <w:ind w:left="0" w:leftChars="0" w:firstLine="690" w:firstLineChars="200"/>
        <w:outlineLvl w:val="9"/>
        <w:rPr>
          <w:rFonts w:hint="eastAsia" w:ascii="宋体" w:hAnsi="宋体" w:cs="宋体"/>
          <w:b/>
          <w:bCs/>
          <w:iCs/>
          <w:color w:val="auto"/>
          <w:szCs w:val="21"/>
          <w:highlight w:val="none"/>
        </w:rPr>
      </w:pPr>
    </w:p>
    <w:p w14:paraId="7DF531CE">
      <w:pPr>
        <w:shd w:val="clear"/>
        <w:adjustRightInd w:val="0"/>
        <w:spacing w:line="560" w:lineRule="exact"/>
        <w:ind w:firstLine="490" w:firstLineChars="200"/>
        <w:jc w:val="left"/>
        <w:rPr>
          <w:rFonts w:ascii="仿宋" w:hAnsi="仿宋" w:eastAsia="仿宋" w:cs="仿宋"/>
          <w:color w:val="auto"/>
          <w:sz w:val="30"/>
          <w:szCs w:val="30"/>
          <w:highlight w:val="none"/>
        </w:rPr>
      </w:pPr>
      <w:r>
        <w:rPr>
          <w:rFonts w:hint="eastAsia" w:ascii="Times New Roman" w:hAnsi="Times New Roman" w:eastAsia="仿宋" w:cs="Times New Roman"/>
          <w:b/>
          <w:bCs/>
          <w:color w:val="auto"/>
          <w:sz w:val="24"/>
          <w:szCs w:val="24"/>
          <w:highlight w:val="none"/>
        </w:rPr>
        <w:t>注：表格可以由</w:t>
      </w:r>
      <w:r>
        <w:rPr>
          <w:rFonts w:hint="eastAsia" w:ascii="Times New Roman" w:hAnsi="Times New Roman" w:eastAsia="仿宋" w:cs="Times New Roman"/>
          <w:b/>
          <w:bCs/>
          <w:color w:val="auto"/>
          <w:sz w:val="24"/>
          <w:szCs w:val="24"/>
          <w:highlight w:val="none"/>
          <w:lang w:val="en-US" w:eastAsia="zh-CN"/>
        </w:rPr>
        <w:t>供应商</w:t>
      </w:r>
      <w:r>
        <w:rPr>
          <w:rFonts w:hint="eastAsia" w:ascii="Times New Roman" w:hAnsi="Times New Roman" w:eastAsia="仿宋" w:cs="Times New Roman"/>
          <w:b/>
          <w:bCs/>
          <w:color w:val="auto"/>
          <w:sz w:val="24"/>
          <w:szCs w:val="24"/>
          <w:highlight w:val="none"/>
        </w:rPr>
        <w:t>根据自身情况自行扩展或调整。</w:t>
      </w:r>
    </w:p>
    <w:p w14:paraId="50593332">
      <w:pPr>
        <w:pStyle w:val="4"/>
        <w:keepNext/>
        <w:keepLines/>
        <w:pageBreakBefore w:val="0"/>
        <w:widowControl w:val="0"/>
        <w:shd w:val="clear"/>
        <w:kinsoku/>
        <w:wordWrap/>
        <w:overflowPunct/>
        <w:topLinePunct w:val="0"/>
        <w:autoSpaceDE/>
        <w:autoSpaceDN/>
        <w:bidi w:val="0"/>
        <w:adjustRightInd/>
        <w:snapToGrid/>
        <w:spacing w:before="120" w:after="120" w:line="240" w:lineRule="auto"/>
        <w:jc w:val="center"/>
        <w:textAlignment w:val="auto"/>
        <w:rPr>
          <w:rFonts w:ascii="仿宋" w:hAnsi="仿宋" w:eastAsia="仿宋"/>
          <w:color w:val="auto"/>
          <w:highlight w:val="none"/>
        </w:rPr>
      </w:pPr>
      <w:bookmarkStart w:id="197" w:name="_Toc13835"/>
      <w:r>
        <w:rPr>
          <w:rFonts w:hint="eastAsia" w:ascii="仿宋" w:hAnsi="仿宋" w:eastAsia="仿宋" w:cs="仿宋"/>
          <w:bCs w:val="0"/>
          <w:color w:val="auto"/>
          <w:sz w:val="30"/>
          <w:szCs w:val="30"/>
          <w:highlight w:val="none"/>
          <w:lang w:eastAsia="zh-CN"/>
        </w:rPr>
        <w:br w:type="page"/>
      </w:r>
      <w:bookmarkEnd w:id="197"/>
      <w:r>
        <w:rPr>
          <w:rFonts w:hint="eastAsia" w:ascii="仿宋" w:hAnsi="仿宋" w:eastAsia="仿宋" w:cs="仿宋"/>
          <w:b/>
          <w:color w:val="auto"/>
          <w:sz w:val="30"/>
          <w:szCs w:val="30"/>
          <w:highlight w:val="none"/>
          <w:lang w:val="en-US" w:eastAsia="zh-CN"/>
        </w:rPr>
        <w:t>七、</w:t>
      </w:r>
      <w:r>
        <w:rPr>
          <w:rFonts w:hint="eastAsia" w:ascii="仿宋" w:hAnsi="仿宋" w:eastAsia="仿宋" w:cs="仿宋"/>
          <w:bCs w:val="0"/>
          <w:color w:val="auto"/>
          <w:sz w:val="30"/>
          <w:szCs w:val="30"/>
          <w:highlight w:val="none"/>
        </w:rPr>
        <w:t>知识产权承诺书</w:t>
      </w:r>
    </w:p>
    <w:p w14:paraId="44CB0A9C">
      <w:pPr>
        <w:widowControl/>
        <w:spacing w:after="156" w:afterLines="50" w:line="560" w:lineRule="exact"/>
        <w:ind w:firstLine="285" w:firstLineChars="100"/>
        <w:jc w:val="left"/>
        <w:rPr>
          <w:rFonts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6EEC1B93">
      <w:pPr>
        <w:pStyle w:val="7"/>
        <w:shd w:val="clear"/>
        <w:spacing w:line="560" w:lineRule="exact"/>
        <w:ind w:firstLineChars="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作为本项目</w:t>
      </w:r>
      <w:r>
        <w:rPr>
          <w:rFonts w:hint="default" w:ascii="Times New Roman" w:hAnsi="Times New Roman" w:eastAsia="仿宋" w:cs="Times New Roman"/>
          <w:bCs/>
          <w:color w:val="auto"/>
          <w:sz w:val="28"/>
          <w:szCs w:val="28"/>
          <w:highlight w:val="none"/>
        </w:rPr>
        <w:t>“</w:t>
      </w:r>
      <w:r>
        <w:rPr>
          <w:rFonts w:hint="default" w:ascii="Times New Roman" w:hAnsi="Times New Roman" w:eastAsia="仿宋" w:cs="Times New Roman"/>
          <w:bCs/>
          <w:color w:val="auto"/>
          <w:sz w:val="28"/>
          <w:szCs w:val="28"/>
          <w:highlight w:val="none"/>
          <w:u w:val="single"/>
        </w:rPr>
        <w:t xml:space="preserve"> </w:t>
      </w:r>
      <w:r>
        <w:rPr>
          <w:rFonts w:hint="default" w:ascii="Times New Roman" w:hAnsi="Times New Roman" w:eastAsia="仿宋" w:cs="Times New Roman"/>
          <w:color w:val="auto"/>
          <w:sz w:val="28"/>
          <w:szCs w:val="28"/>
          <w:highlight w:val="none"/>
          <w:u w:val="single"/>
        </w:rPr>
        <w:t xml:space="preserve">XX </w:t>
      </w:r>
      <w:r>
        <w:rPr>
          <w:rFonts w:hint="default" w:ascii="Times New Roman" w:hAnsi="Times New Roman" w:eastAsia="仿宋" w:cs="Times New Roman"/>
          <w:bCs/>
          <w:color w:val="auto"/>
          <w:sz w:val="28"/>
          <w:szCs w:val="28"/>
          <w:highlight w:val="none"/>
        </w:rPr>
        <w:t>”（项目名称）项目</w:t>
      </w:r>
      <w:r>
        <w:rPr>
          <w:rFonts w:hint="default" w:ascii="Times New Roman" w:hAnsi="Times New Roman" w:eastAsia="仿宋" w:cs="Times New Roman"/>
          <w:bCs/>
          <w:color w:val="auto"/>
          <w:sz w:val="28"/>
          <w:szCs w:val="28"/>
          <w:highlight w:val="none"/>
          <w:lang w:eastAsia="zh-CN"/>
        </w:rPr>
        <w:t>的</w:t>
      </w:r>
      <w:r>
        <w:rPr>
          <w:rFonts w:hint="default" w:ascii="Times New Roman" w:hAnsi="Times New Roman" w:eastAsia="仿宋" w:cs="Times New Roman"/>
          <w:bCs/>
          <w:color w:val="auto"/>
          <w:sz w:val="28"/>
          <w:szCs w:val="28"/>
          <w:highlight w:val="none"/>
          <w:lang w:val="en-US" w:eastAsia="zh-CN"/>
        </w:rPr>
        <w:t>供应商</w:t>
      </w:r>
      <w:r>
        <w:rPr>
          <w:rFonts w:hint="default" w:ascii="Times New Roman" w:hAnsi="Times New Roman" w:eastAsia="仿宋" w:cs="Times New Roman"/>
          <w:color w:val="auto"/>
          <w:sz w:val="28"/>
          <w:szCs w:val="28"/>
          <w:highlight w:val="none"/>
        </w:rPr>
        <w:t>，我公司在此郑重承诺：</w:t>
      </w:r>
    </w:p>
    <w:p w14:paraId="3E18C9BF">
      <w:pPr>
        <w:pStyle w:val="12"/>
        <w:shd w:val="clear"/>
        <w:spacing w:line="560" w:lineRule="exact"/>
        <w:ind w:firstLine="57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我公司保证在本项目使用的任何产品（货物）和服务（包括部分使用）时，不会产生因第三方提出侵犯其专利权、商标权或其它知识产权而引起的法律和经济纠纷，如因专利权、商标权、货物产权或其它知识产权而引起法律和经济纠纷，由我公司承担所有相关责任。</w:t>
      </w:r>
    </w:p>
    <w:p w14:paraId="1F354097">
      <w:pPr>
        <w:pStyle w:val="12"/>
        <w:shd w:val="clear"/>
        <w:spacing w:line="560" w:lineRule="exact"/>
        <w:ind w:firstLine="57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2、本项目采购人享有本项目实施过程中产生的知识成果及知识产权。</w:t>
      </w:r>
    </w:p>
    <w:p w14:paraId="7FF4B109">
      <w:pPr>
        <w:shd w:val="clear"/>
        <w:spacing w:line="560" w:lineRule="exact"/>
        <w:ind w:firstLine="57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我公司如欲在项目实施过程中采用自有知识成果，我公司将在投标文件中声明，并提供相关知识产权证明文件。使用该知识成果后，我公司需提供开发接口和开发手册等技术文档，并承诺提供无限期技术支持，本项目采购人享有永久使用权（含本项目采购人委托第三方在该项目后续开发的使用权）。</w:t>
      </w:r>
    </w:p>
    <w:p w14:paraId="358CB8A8">
      <w:pPr>
        <w:shd w:val="clear"/>
        <w:spacing w:line="560" w:lineRule="exact"/>
        <w:ind w:firstLine="546" w:firstLineChars="192"/>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 xml:space="preserve">4、如采用我公司所不拥有的知识产权，则在投标报价中已包括合法获取该知识产权的相关费用。 </w:t>
      </w:r>
    </w:p>
    <w:p w14:paraId="72532820">
      <w:pPr>
        <w:rPr>
          <w:rFonts w:hint="eastAsia" w:ascii="仿宋" w:hAnsi="仿宋" w:eastAsia="仿宋" w:cs="仿宋"/>
          <w:bCs w:val="0"/>
          <w:color w:val="auto"/>
          <w:sz w:val="30"/>
          <w:szCs w:val="30"/>
          <w:highlight w:val="none"/>
          <w:lang w:eastAsia="zh-CN"/>
        </w:rPr>
      </w:pPr>
    </w:p>
    <w:p w14:paraId="7C3B77AC">
      <w:pPr>
        <w:rPr>
          <w:rFonts w:hint="eastAsia" w:ascii="仿宋" w:hAnsi="仿宋" w:eastAsia="仿宋" w:cs="仿宋"/>
          <w:bCs w:val="0"/>
          <w:color w:val="auto"/>
          <w:sz w:val="30"/>
          <w:szCs w:val="30"/>
          <w:highlight w:val="none"/>
        </w:rPr>
      </w:pPr>
      <w:r>
        <w:rPr>
          <w:rFonts w:hint="eastAsia" w:ascii="仿宋" w:hAnsi="仿宋" w:eastAsia="仿宋" w:cs="仿宋"/>
          <w:bCs w:val="0"/>
          <w:color w:val="auto"/>
          <w:sz w:val="30"/>
          <w:szCs w:val="30"/>
          <w:highlight w:val="none"/>
        </w:rPr>
        <w:br w:type="page"/>
      </w:r>
    </w:p>
    <w:p w14:paraId="1BBA273D">
      <w:pPr>
        <w:jc w:val="center"/>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八</w:t>
      </w:r>
      <w:r>
        <w:rPr>
          <w:rFonts w:hint="eastAsia" w:ascii="仿宋" w:hAnsi="仿宋" w:eastAsia="仿宋" w:cs="仿宋"/>
          <w:b/>
          <w:bCs/>
          <w:color w:val="auto"/>
          <w:sz w:val="30"/>
          <w:szCs w:val="30"/>
          <w:highlight w:val="none"/>
          <w:lang w:eastAsia="zh-CN"/>
        </w:rPr>
        <w:t>、</w:t>
      </w:r>
      <w:r>
        <w:rPr>
          <w:rFonts w:hint="eastAsia" w:ascii="仿宋" w:hAnsi="仿宋" w:eastAsia="仿宋" w:cs="仿宋"/>
          <w:b/>
          <w:bCs/>
          <w:color w:val="auto"/>
          <w:sz w:val="30"/>
          <w:szCs w:val="30"/>
          <w:highlight w:val="none"/>
          <w:lang w:val="en-US" w:eastAsia="zh-CN"/>
        </w:rPr>
        <w:t>方案</w:t>
      </w:r>
    </w:p>
    <w:p w14:paraId="71086B33">
      <w:pPr>
        <w:keepNext w:val="0"/>
        <w:keepLines w:val="0"/>
        <w:pageBreakBefore w:val="0"/>
        <w:widowControl w:val="0"/>
        <w:kinsoku/>
        <w:wordWrap/>
        <w:overflowPunct/>
        <w:topLinePunct w:val="0"/>
        <w:autoSpaceDE/>
        <w:autoSpaceDN/>
        <w:bidi w:val="0"/>
        <w:adjustRightInd w:val="0"/>
        <w:snapToGrid/>
        <w:spacing w:before="180" w:after="180" w:line="560" w:lineRule="exact"/>
        <w:ind w:firstLine="570" w:firstLineChars="200"/>
        <w:jc w:val="center"/>
        <w:textAlignment w:val="auto"/>
        <w:outlineLvl w:val="3"/>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{服务类}</w:t>
      </w:r>
      <w:r>
        <w:rPr>
          <w:rFonts w:hint="eastAsia" w:ascii="仿宋" w:hAnsi="仿宋" w:eastAsia="仿宋" w:cs="仿宋"/>
          <w:b w:val="0"/>
          <w:bCs w:val="0"/>
          <w:color w:val="auto"/>
          <w:sz w:val="28"/>
          <w:szCs w:val="28"/>
          <w:highlight w:val="none"/>
          <w:lang w:val="en-US" w:eastAsia="zh-CN"/>
        </w:rPr>
        <w:t>-项目服务方案</w:t>
      </w:r>
    </w:p>
    <w:p w14:paraId="6077FF37">
      <w:pPr>
        <w:adjustRightInd w:val="0"/>
        <w:spacing w:line="560" w:lineRule="exact"/>
        <w:jc w:val="left"/>
        <w:rPr>
          <w:rFonts w:hint="eastAsia" w:ascii="仿宋" w:hAnsi="仿宋" w:eastAsia="仿宋" w:cs="仿宋"/>
          <w:b/>
          <w:bCs/>
          <w:color w:val="auto"/>
          <w:sz w:val="28"/>
          <w:szCs w:val="28"/>
          <w:highlight w:val="none"/>
          <w:lang w:val="en-US" w:eastAsia="zh-CN"/>
        </w:rPr>
      </w:pPr>
    </w:p>
    <w:p w14:paraId="2A957508">
      <w:pPr>
        <w:adjustRightInd w:val="0"/>
        <w:spacing w:line="560" w:lineRule="exact"/>
        <w:ind w:firstLine="570" w:firstLineChars="20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w:t>
      </w:r>
      <w:r>
        <w:rPr>
          <w:rFonts w:hint="eastAsia" w:ascii="仿宋" w:hAnsi="仿宋" w:eastAsia="仿宋" w:cs="仿宋"/>
          <w:b/>
          <w:bCs/>
          <w:color w:val="auto"/>
          <w:sz w:val="28"/>
          <w:szCs w:val="28"/>
          <w:highlight w:val="none"/>
        </w:rPr>
        <w:t>内容由</w:t>
      </w:r>
      <w:r>
        <w:rPr>
          <w:rFonts w:hint="eastAsia" w:ascii="仿宋" w:hAnsi="仿宋" w:eastAsia="仿宋" w:cs="仿宋"/>
          <w:b/>
          <w:bCs/>
          <w:color w:val="auto"/>
          <w:sz w:val="28"/>
          <w:szCs w:val="28"/>
          <w:highlight w:val="none"/>
          <w:lang w:val="en-US" w:eastAsia="zh-CN"/>
        </w:rPr>
        <w:t>供应商</w:t>
      </w:r>
      <w:r>
        <w:rPr>
          <w:rFonts w:hint="eastAsia" w:ascii="仿宋" w:hAnsi="仿宋" w:eastAsia="仿宋" w:cs="仿宋"/>
          <w:b/>
          <w:bCs/>
          <w:color w:val="auto"/>
          <w:sz w:val="28"/>
          <w:szCs w:val="28"/>
          <w:highlight w:val="none"/>
        </w:rPr>
        <w:t>根据本项目实际需求自行编制。</w:t>
      </w:r>
    </w:p>
    <w:p w14:paraId="24AE2C0E">
      <w:pPr>
        <w:adjustRightInd w:val="0"/>
        <w:spacing w:line="560" w:lineRule="exact"/>
        <w:ind w:firstLine="570" w:firstLineChars="200"/>
        <w:jc w:val="left"/>
        <w:rPr>
          <w:rFonts w:hint="eastAsia" w:ascii="仿宋" w:hAnsi="仿宋" w:eastAsia="仿宋" w:cs="仿宋"/>
          <w:b w:val="0"/>
          <w:bCs w:val="0"/>
          <w:color w:val="auto"/>
          <w:sz w:val="28"/>
          <w:szCs w:val="28"/>
          <w:highlight w:val="none"/>
          <w:lang w:val="en-US" w:eastAsia="zh-CN"/>
        </w:rPr>
      </w:pPr>
    </w:p>
    <w:p w14:paraId="0CCDD29A">
      <w:pPr>
        <w:keepNext w:val="0"/>
        <w:keepLines w:val="0"/>
        <w:pageBreakBefore w:val="0"/>
        <w:widowControl w:val="0"/>
        <w:kinsoku/>
        <w:wordWrap/>
        <w:overflowPunct/>
        <w:topLinePunct w:val="0"/>
        <w:autoSpaceDE/>
        <w:autoSpaceDN/>
        <w:bidi w:val="0"/>
        <w:adjustRightInd/>
        <w:snapToGrid/>
        <w:spacing w:before="260" w:after="260"/>
        <w:jc w:val="center"/>
        <w:textAlignment w:val="auto"/>
        <w:outlineLvl w:val="2"/>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九</w:t>
      </w:r>
      <w:r>
        <w:rPr>
          <w:rFonts w:hint="eastAsia" w:ascii="仿宋" w:hAnsi="仿宋" w:eastAsia="仿宋" w:cs="仿宋"/>
          <w:b/>
          <w:bCs/>
          <w:color w:val="auto"/>
          <w:sz w:val="30"/>
          <w:szCs w:val="30"/>
          <w:highlight w:val="none"/>
        </w:rPr>
        <w:t>、其他材料</w:t>
      </w:r>
    </w:p>
    <w:p w14:paraId="74DCBDD0">
      <w:pPr>
        <w:adjustRightInd w:val="0"/>
        <w:spacing w:line="560" w:lineRule="exact"/>
        <w:ind w:firstLine="57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1、依据评分细则(采用综合评分时)及</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文件提供。</w:t>
      </w:r>
    </w:p>
    <w:p w14:paraId="3BB70819">
      <w:pPr>
        <w:pStyle w:val="11"/>
        <w:numPr>
          <w:ilvl w:val="0"/>
          <w:numId w:val="0"/>
        </w:numPr>
        <w:spacing w:line="520" w:lineRule="exact"/>
        <w:ind w:firstLine="57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b/>
          <w:bCs/>
          <w:color w:val="auto"/>
          <w:sz w:val="28"/>
          <w:szCs w:val="28"/>
          <w:highlight w:val="none"/>
          <w:lang w:val="en-US" w:eastAsia="zh-CN"/>
        </w:rPr>
        <w:t>磋商</w:t>
      </w:r>
      <w:r>
        <w:rPr>
          <w:rFonts w:hint="eastAsia" w:ascii="仿宋" w:hAnsi="仿宋" w:eastAsia="仿宋" w:cs="仿宋"/>
          <w:b/>
          <w:bCs/>
          <w:color w:val="auto"/>
          <w:sz w:val="28"/>
          <w:szCs w:val="28"/>
          <w:highlight w:val="none"/>
        </w:rPr>
        <w:t>文件要求承诺的事项</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rPr>
        <w:t>内容由</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按本项目需求自行编制</w:t>
      </w:r>
      <w:r>
        <w:rPr>
          <w:rFonts w:hint="eastAsia" w:ascii="仿宋" w:hAnsi="仿宋" w:eastAsia="仿宋" w:cs="仿宋"/>
          <w:b/>
          <w:bCs/>
          <w:color w:val="auto"/>
          <w:sz w:val="28"/>
          <w:szCs w:val="28"/>
          <w:highlight w:val="none"/>
        </w:rPr>
        <w:t>（如涉及）</w:t>
      </w:r>
      <w:r>
        <w:rPr>
          <w:rFonts w:hint="eastAsia" w:ascii="仿宋" w:hAnsi="仿宋" w:eastAsia="仿宋" w:cs="仿宋"/>
          <w:color w:val="auto"/>
          <w:sz w:val="28"/>
          <w:szCs w:val="28"/>
          <w:highlight w:val="none"/>
        </w:rPr>
        <w:t>。</w:t>
      </w:r>
    </w:p>
    <w:p w14:paraId="311BFE6E">
      <w:pPr>
        <w:adjustRightInd w:val="0"/>
        <w:spacing w:line="560" w:lineRule="exact"/>
        <w:ind w:firstLine="57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认为需提供的其他材料。</w:t>
      </w:r>
      <w:r>
        <w:rPr>
          <w:rFonts w:hint="eastAsia" w:ascii="仿宋" w:hAnsi="仿宋" w:eastAsia="仿宋" w:cs="仿宋"/>
          <w:color w:val="auto"/>
          <w:sz w:val="28"/>
          <w:szCs w:val="28"/>
          <w:highlight w:val="none"/>
          <w:lang w:val="en-US" w:eastAsia="zh-CN"/>
        </w:rPr>
        <w:t xml:space="preserve">   </w:t>
      </w:r>
    </w:p>
    <w:p w14:paraId="1BFE5D2C">
      <w:pPr>
        <w:rPr>
          <w:rFonts w:hint="eastAsia" w:ascii="仿宋" w:hAnsi="仿宋" w:eastAsia="仿宋" w:cs="仿宋"/>
          <w:bCs w:val="0"/>
          <w:color w:val="auto"/>
          <w:sz w:val="30"/>
          <w:szCs w:val="30"/>
          <w:highlight w:val="none"/>
          <w:lang w:eastAsia="zh-CN"/>
        </w:rPr>
      </w:pPr>
    </w:p>
    <w:p w14:paraId="244C3404">
      <w:pPr>
        <w:rPr>
          <w:rFonts w:hint="eastAsia" w:ascii="仿宋" w:hAnsi="仿宋" w:eastAsia="仿宋" w:cs="仿宋"/>
          <w:bCs w:val="0"/>
          <w:color w:val="auto"/>
          <w:sz w:val="30"/>
          <w:szCs w:val="30"/>
          <w:highlight w:val="none"/>
        </w:rPr>
      </w:pPr>
    </w:p>
    <w:p w14:paraId="25590234">
      <w:pPr>
        <w:spacing w:line="240" w:lineRule="auto"/>
        <w:jc w:val="center"/>
        <w:outlineLvl w:val="9"/>
        <w:rPr>
          <w:rFonts w:hint="eastAsia" w:ascii="仿宋" w:hAnsi="仿宋" w:eastAsia="仿宋" w:cs="仿宋"/>
          <w:bCs w:val="0"/>
          <w:color w:val="auto"/>
          <w:sz w:val="30"/>
          <w:szCs w:val="30"/>
          <w:highlight w:val="none"/>
          <w:lang w:eastAsia="zh-CN"/>
        </w:rPr>
      </w:pPr>
    </w:p>
    <w:p w14:paraId="610E601D">
      <w:pPr>
        <w:pStyle w:val="4"/>
        <w:tabs>
          <w:tab w:val="left" w:pos="360"/>
        </w:tabs>
        <w:spacing w:line="300" w:lineRule="auto"/>
        <w:jc w:val="center"/>
        <w:rPr>
          <w:rFonts w:ascii="仿宋" w:hAnsi="仿宋" w:eastAsia="仿宋" w:cs="仿宋"/>
          <w:color w:val="auto"/>
          <w:sz w:val="30"/>
          <w:szCs w:val="30"/>
          <w:highlight w:val="none"/>
        </w:rPr>
      </w:pPr>
      <w:bookmarkStart w:id="198" w:name="_Toc32433"/>
      <w:bookmarkStart w:id="199" w:name="_Toc8971"/>
      <w:r>
        <w:rPr>
          <w:rFonts w:hint="eastAsia" w:ascii="仿宋" w:hAnsi="仿宋" w:eastAsia="仿宋" w:cs="仿宋"/>
          <w:bCs w:val="0"/>
          <w:color w:val="auto"/>
          <w:sz w:val="30"/>
          <w:szCs w:val="30"/>
          <w:highlight w:val="none"/>
          <w:lang w:val="en-US" w:eastAsia="zh-CN"/>
        </w:rPr>
        <w:br w:type="page"/>
      </w:r>
      <w:bookmarkEnd w:id="198"/>
      <w:bookmarkEnd w:id="199"/>
      <w:bookmarkStart w:id="200" w:name="_Toc9964"/>
      <w:bookmarkStart w:id="201" w:name="_Toc19969"/>
      <w:bookmarkStart w:id="202" w:name="_Toc8509"/>
      <w:bookmarkStart w:id="203" w:name="_Toc23812"/>
      <w:r>
        <w:rPr>
          <w:rFonts w:hint="eastAsia" w:ascii="仿宋" w:hAnsi="仿宋" w:eastAsia="仿宋" w:cs="仿宋"/>
          <w:color w:val="auto"/>
          <w:sz w:val="30"/>
          <w:szCs w:val="30"/>
          <w:highlight w:val="none"/>
          <w:lang w:val="en-US" w:eastAsia="zh-CN"/>
        </w:rPr>
        <w:t>第二轮</w:t>
      </w:r>
      <w:r>
        <w:rPr>
          <w:rFonts w:hint="eastAsia" w:ascii="仿宋" w:hAnsi="仿宋" w:eastAsia="仿宋" w:cs="仿宋"/>
          <w:color w:val="auto"/>
          <w:sz w:val="30"/>
          <w:szCs w:val="30"/>
          <w:highlight w:val="none"/>
        </w:rPr>
        <w:t>报价函（实质性要求）</w:t>
      </w:r>
    </w:p>
    <w:p w14:paraId="3D728DD5">
      <w:pPr>
        <w:widowControl/>
        <w:spacing w:after="156" w:afterLines="50" w:line="560" w:lineRule="exact"/>
        <w:ind w:firstLine="285" w:firstLineChars="100"/>
        <w:jc w:val="left"/>
        <w:rPr>
          <w:rFonts w:hint="default" w:ascii="Times New Roman" w:hAnsi="Times New Roman" w:eastAsia="仿宋" w:cs="Times New Roman"/>
          <w:b/>
          <w:bCs/>
          <w:color w:val="auto"/>
          <w:sz w:val="28"/>
          <w:szCs w:val="28"/>
          <w:highlight w:val="none"/>
          <w:lang w:val="en-US" w:eastAsia="zh-CN"/>
        </w:rPr>
      </w:pPr>
      <w:r>
        <w:rPr>
          <w:rFonts w:hint="default" w:ascii="Times New Roman" w:hAnsi="Times New Roman" w:eastAsia="仿宋" w:cs="Times New Roman"/>
          <w:b/>
          <w:bCs/>
          <w:color w:val="auto"/>
          <w:sz w:val="28"/>
          <w:szCs w:val="28"/>
          <w:highlight w:val="none"/>
        </w:rPr>
        <w:t>致：</w:t>
      </w:r>
      <w:r>
        <w:rPr>
          <w:rFonts w:hint="eastAsia" w:ascii="仿宋" w:hAnsi="仿宋" w:eastAsia="仿宋" w:cs="仿宋"/>
          <w:b/>
          <w:color w:val="auto"/>
          <w:sz w:val="28"/>
          <w:szCs w:val="28"/>
          <w:highlight w:val="none"/>
          <w:u w:val="single"/>
          <w:lang w:val="en-US" w:eastAsia="zh-CN" w:bidi="ar"/>
        </w:rPr>
        <w:t xml:space="preserve">                 </w:t>
      </w:r>
      <w:r>
        <w:rPr>
          <w:rFonts w:hint="eastAsia" w:ascii="仿宋" w:hAnsi="仿宋" w:eastAsia="仿宋" w:cs="仿宋"/>
          <w:b/>
          <w:color w:val="auto"/>
          <w:sz w:val="28"/>
          <w:szCs w:val="28"/>
          <w:highlight w:val="none"/>
          <w:u w:val="none"/>
          <w:lang w:bidi="ar"/>
        </w:rPr>
        <w:t>：</w:t>
      </w:r>
    </w:p>
    <w:p w14:paraId="23F25FCE">
      <w:pPr>
        <w:spacing w:line="560" w:lineRule="exact"/>
        <w:ind w:firstLine="57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1、根据你方</w:t>
      </w:r>
      <w:r>
        <w:rPr>
          <w:rFonts w:hint="default" w:ascii="Times New Roman" w:hAnsi="Times New Roman" w:eastAsia="仿宋" w:cs="Times New Roman"/>
          <w:color w:val="auto"/>
          <w:sz w:val="28"/>
          <w:szCs w:val="28"/>
          <w:highlight w:val="none"/>
          <w:u w:val="single"/>
        </w:rPr>
        <w:t xml:space="preserve"> </w:t>
      </w:r>
      <w:r>
        <w:rPr>
          <w:rFonts w:hint="eastAsia" w:ascii="Times New Roman" w:hAnsi="Times New Roman" w:eastAsia="仿宋" w:cs="Times New Roman"/>
          <w:color w:val="auto"/>
          <w:sz w:val="28"/>
          <w:szCs w:val="28"/>
          <w:highlight w:val="none"/>
          <w:u w:val="single"/>
          <w:lang w:val="en-US" w:eastAsia="zh-CN"/>
        </w:rPr>
        <w:t xml:space="preserve">                     </w:t>
      </w:r>
      <w:r>
        <w:rPr>
          <w:rFonts w:hint="eastAsia" w:ascii="仿宋" w:hAnsi="仿宋" w:eastAsia="仿宋" w:cs="仿宋"/>
          <w:b w:val="0"/>
          <w:bCs/>
          <w:color w:val="auto"/>
          <w:sz w:val="28"/>
          <w:szCs w:val="28"/>
          <w:highlight w:val="none"/>
          <w:u w:val="none"/>
          <w:lang w:val="en-US" w:eastAsia="zh-CN"/>
        </w:rPr>
        <w:t>的</w:t>
      </w:r>
      <w:r>
        <w:rPr>
          <w:rFonts w:hint="eastAsia" w:ascii="仿宋" w:hAnsi="仿宋" w:eastAsia="仿宋" w:cs="仿宋"/>
          <w:color w:val="auto"/>
          <w:sz w:val="28"/>
          <w:szCs w:val="28"/>
          <w:highlight w:val="none"/>
        </w:rPr>
        <w:t>竞争性</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文件，遵照有关规定，经研究上述竞争性</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文件及</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后，我方愿对此项目作如下报价：</w:t>
      </w:r>
    </w:p>
    <w:tbl>
      <w:tblPr>
        <w:tblStyle w:val="33"/>
        <w:tblW w:w="10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305"/>
        <w:gridCol w:w="1416"/>
        <w:gridCol w:w="1284"/>
        <w:gridCol w:w="4962"/>
        <w:gridCol w:w="666"/>
      </w:tblGrid>
      <w:tr w14:paraId="020A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exact"/>
          <w:jc w:val="center"/>
        </w:trPr>
        <w:tc>
          <w:tcPr>
            <w:tcW w:w="789" w:type="dxa"/>
            <w:vAlign w:val="center"/>
          </w:tcPr>
          <w:p w14:paraId="6A3041ED">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05" w:type="dxa"/>
            <w:vAlign w:val="center"/>
          </w:tcPr>
          <w:p w14:paraId="764673D4">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项目名称</w:t>
            </w:r>
          </w:p>
        </w:tc>
        <w:tc>
          <w:tcPr>
            <w:tcW w:w="1416" w:type="dxa"/>
            <w:vAlign w:val="center"/>
          </w:tcPr>
          <w:p w14:paraId="42B48677">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采购编号</w:t>
            </w:r>
          </w:p>
        </w:tc>
        <w:tc>
          <w:tcPr>
            <w:tcW w:w="1284" w:type="dxa"/>
            <w:vAlign w:val="center"/>
          </w:tcPr>
          <w:p w14:paraId="3FFAC5B8">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szCs w:val="24"/>
                <w:highlight w:val="none"/>
                <w:lang w:val="en-US" w:eastAsia="zh-CN"/>
              </w:rPr>
              <w:t>时间</w:t>
            </w:r>
          </w:p>
        </w:tc>
        <w:tc>
          <w:tcPr>
            <w:tcW w:w="4962" w:type="dxa"/>
            <w:vAlign w:val="center"/>
          </w:tcPr>
          <w:p w14:paraId="31D5C1BF">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报价</w:t>
            </w:r>
          </w:p>
        </w:tc>
        <w:tc>
          <w:tcPr>
            <w:tcW w:w="666" w:type="dxa"/>
            <w:vAlign w:val="center"/>
          </w:tcPr>
          <w:p w14:paraId="260F46C9">
            <w:pPr>
              <w:keepNext w:val="0"/>
              <w:keepLines w:val="0"/>
              <w:pageBreakBefore w:val="0"/>
              <w:widowControl w:val="0"/>
              <w:kinsoku/>
              <w:wordWrap/>
              <w:overflowPunct/>
              <w:topLinePunct w:val="0"/>
              <w:autoSpaceDE/>
              <w:autoSpaceDN/>
              <w:bidi w:val="0"/>
              <w:adjustRightInd/>
              <w:snapToGrid w:val="0"/>
              <w:spacing w:line="320" w:lineRule="exact"/>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备注</w:t>
            </w:r>
          </w:p>
        </w:tc>
      </w:tr>
      <w:tr w14:paraId="56AD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8" w:hRule="atLeast"/>
          <w:jc w:val="center"/>
        </w:trPr>
        <w:tc>
          <w:tcPr>
            <w:tcW w:w="789" w:type="dxa"/>
            <w:vAlign w:val="center"/>
          </w:tcPr>
          <w:p w14:paraId="0D94F989">
            <w:pPr>
              <w:snapToGrid w:val="0"/>
              <w:spacing w:line="4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305" w:type="dxa"/>
            <w:vAlign w:val="center"/>
          </w:tcPr>
          <w:p w14:paraId="3B10F2A6">
            <w:pPr>
              <w:widowControl/>
              <w:jc w:val="center"/>
              <w:textAlignment w:val="center"/>
              <w:rPr>
                <w:rFonts w:hint="eastAsia" w:ascii="仿宋" w:hAnsi="仿宋" w:eastAsia="仿宋" w:cs="仿宋"/>
                <w:color w:val="auto"/>
                <w:sz w:val="24"/>
                <w:szCs w:val="24"/>
                <w:highlight w:val="none"/>
              </w:rPr>
            </w:pPr>
          </w:p>
        </w:tc>
        <w:tc>
          <w:tcPr>
            <w:tcW w:w="1416" w:type="dxa"/>
            <w:vAlign w:val="center"/>
          </w:tcPr>
          <w:p w14:paraId="6936DB94">
            <w:pPr>
              <w:snapToGrid w:val="0"/>
              <w:spacing w:line="400" w:lineRule="exact"/>
              <w:jc w:val="center"/>
              <w:rPr>
                <w:rFonts w:hint="eastAsia" w:ascii="仿宋" w:hAnsi="仿宋" w:eastAsia="仿宋" w:cs="仿宋"/>
                <w:color w:val="auto"/>
                <w:sz w:val="24"/>
                <w:szCs w:val="24"/>
                <w:highlight w:val="none"/>
              </w:rPr>
            </w:pPr>
          </w:p>
        </w:tc>
        <w:tc>
          <w:tcPr>
            <w:tcW w:w="1284" w:type="dxa"/>
            <w:vAlign w:val="center"/>
          </w:tcPr>
          <w:p w14:paraId="1C95446F">
            <w:pPr>
              <w:snapToGrid w:val="0"/>
              <w:spacing w:line="400" w:lineRule="exact"/>
              <w:jc w:val="center"/>
              <w:rPr>
                <w:rFonts w:hint="eastAsia" w:ascii="仿宋" w:hAnsi="仿宋" w:eastAsia="仿宋" w:cs="仿宋"/>
                <w:color w:val="auto"/>
                <w:sz w:val="24"/>
                <w:szCs w:val="24"/>
                <w:highlight w:val="none"/>
              </w:rPr>
            </w:pPr>
          </w:p>
        </w:tc>
        <w:tc>
          <w:tcPr>
            <w:tcW w:w="4962" w:type="dxa"/>
            <w:vAlign w:val="center"/>
          </w:tcPr>
          <w:p w14:paraId="12BC9845">
            <w:pPr>
              <w:snapToGrid w:val="0"/>
              <w:spacing w:line="4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报价含税金额</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p>
          <w:p w14:paraId="7E27DC9F">
            <w:pPr>
              <w:snapToGrid w:val="0"/>
              <w:spacing w:line="400" w:lineRule="exact"/>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其中：包1</w:t>
            </w:r>
            <w:r>
              <w:rPr>
                <w:rFonts w:hint="eastAsia" w:ascii="仿宋" w:hAnsi="仿宋" w:eastAsia="仿宋" w:cs="仿宋"/>
                <w:color w:val="auto"/>
                <w:sz w:val="24"/>
                <w:szCs w:val="24"/>
                <w:highlight w:val="none"/>
              </w:rPr>
              <w:t>基本审核费用</w:t>
            </w:r>
            <w:r>
              <w:rPr>
                <w:rFonts w:hint="eastAsia" w:ascii="仿宋" w:hAnsi="仿宋" w:eastAsia="仿宋" w:cs="仿宋"/>
                <w:color w:val="auto"/>
                <w:sz w:val="24"/>
                <w:szCs w:val="24"/>
                <w:highlight w:val="none"/>
                <w:lang w:val="en-US" w:eastAsia="zh-CN"/>
              </w:rPr>
              <w:t>报价</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元，效益审核费用控制价为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包2</w:t>
            </w:r>
            <w:r>
              <w:rPr>
                <w:rFonts w:hint="eastAsia" w:ascii="仿宋" w:hAnsi="仿宋" w:eastAsia="仿宋" w:cs="仿宋"/>
                <w:color w:val="auto"/>
                <w:sz w:val="24"/>
                <w:szCs w:val="24"/>
                <w:highlight w:val="none"/>
              </w:rPr>
              <w:t>基本审核费用</w:t>
            </w:r>
            <w:r>
              <w:rPr>
                <w:rFonts w:hint="eastAsia" w:ascii="仿宋" w:hAnsi="仿宋" w:eastAsia="仿宋" w:cs="仿宋"/>
                <w:color w:val="auto"/>
                <w:sz w:val="24"/>
                <w:szCs w:val="24"/>
                <w:highlight w:val="none"/>
                <w:lang w:val="en-US" w:eastAsia="zh-CN"/>
              </w:rPr>
              <w:t>报价</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元，效益审核费用控制价</w:t>
            </w:r>
            <w:r>
              <w:rPr>
                <w:rFonts w:hint="eastAsia" w:ascii="仿宋" w:hAnsi="仿宋" w:eastAsia="仿宋" w:cs="仿宋"/>
                <w:color w:val="auto"/>
                <w:sz w:val="24"/>
                <w:szCs w:val="24"/>
                <w:highlight w:val="none"/>
                <w:u w:val="single"/>
              </w:rPr>
              <w:t>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元</w:t>
            </w:r>
            <w:r>
              <w:rPr>
                <w:rFonts w:hint="eastAsia" w:ascii="仿宋" w:hAnsi="仿宋" w:eastAsia="仿宋" w:cs="仿宋"/>
                <w:color w:val="auto"/>
                <w:sz w:val="24"/>
                <w:szCs w:val="24"/>
                <w:highlight w:val="none"/>
              </w:rPr>
              <w:t>）。</w:t>
            </w:r>
          </w:p>
          <w:p w14:paraId="02B42C74">
            <w:pPr>
              <w:pageBreakBefore w:val="0"/>
              <w:kinsoku/>
              <w:wordWrap/>
              <w:overflowPunct/>
              <w:topLinePunct w:val="0"/>
              <w:autoSpaceDE/>
              <w:autoSpaceDN/>
              <w:bidi w:val="0"/>
              <w:adjustRightInd w:val="0"/>
              <w:snapToGrid w:val="0"/>
              <w:spacing w:line="360" w:lineRule="auto"/>
              <w:ind w:firstLine="49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按要求完成本项目的结算审核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由采购人负担基本审核费用。审减率≤5%（含5%）由采购人负担效益审核费用，效益审核费按最终审减金额（最终审减金额=送审金额－审定金额）的2%计取，最高不超过投标价。审减率＞5%时，效益审核费由采购人和施工总承包单位工程共同负担。其中审减率在5%以内的部分由采购人负担效益审核费用，效益审核费按最终审减金额（最终审减金额=送审金额－审定金额）的2%计取，最高不超过投标价；审减率在5%以上的部分由施工总承包单位承担效益审核费，该部分审减金额按4%计取作为效益审核费用。</w:t>
            </w:r>
          </w:p>
          <w:p w14:paraId="09EF76D6">
            <w:pPr>
              <w:snapToGrid w:val="0"/>
              <w:spacing w:line="400" w:lineRule="exact"/>
              <w:jc w:val="both"/>
              <w:rPr>
                <w:rFonts w:hint="eastAsia" w:ascii="仿宋" w:hAnsi="仿宋" w:eastAsia="仿宋" w:cs="仿宋"/>
                <w:color w:val="auto"/>
                <w:sz w:val="24"/>
                <w:szCs w:val="24"/>
                <w:highlight w:val="none"/>
              </w:rPr>
            </w:pPr>
          </w:p>
        </w:tc>
        <w:tc>
          <w:tcPr>
            <w:tcW w:w="666" w:type="dxa"/>
            <w:vAlign w:val="center"/>
          </w:tcPr>
          <w:p w14:paraId="5759AF43">
            <w:pPr>
              <w:snapToGrid w:val="0"/>
              <w:spacing w:line="400" w:lineRule="exact"/>
              <w:jc w:val="center"/>
              <w:rPr>
                <w:rFonts w:hint="eastAsia" w:ascii="仿宋" w:hAnsi="仿宋" w:eastAsia="仿宋" w:cs="仿宋"/>
                <w:color w:val="auto"/>
                <w:sz w:val="24"/>
                <w:szCs w:val="24"/>
                <w:highlight w:val="none"/>
              </w:rPr>
            </w:pPr>
          </w:p>
        </w:tc>
      </w:tr>
    </w:tbl>
    <w:p w14:paraId="3E35109C">
      <w:pPr>
        <w:spacing w:line="560" w:lineRule="exact"/>
        <w:ind w:firstLine="57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2、我方同意本项目最终分项报价按最终总报价与首轮总报价的变化幅度进行调整编制。</w:t>
      </w:r>
    </w:p>
    <w:p w14:paraId="07E88BCD">
      <w:pPr>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3、上述报价已包含本项目</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章“采购项目技术、服务、采购合同内容条款及其他商务要求”中“报价要求”部分规定的所有费用。</w:t>
      </w:r>
    </w:p>
    <w:p w14:paraId="792FA066">
      <w:pPr>
        <w:widowControl/>
        <w:spacing w:line="560" w:lineRule="exact"/>
        <w:ind w:firstLine="57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4、我方同意本次采购的报价有效期为60天。</w:t>
      </w:r>
    </w:p>
    <w:p w14:paraId="30867D25">
      <w:pPr>
        <w:spacing w:before="350" w:after="320"/>
        <w:jc w:val="center"/>
        <w:outlineLvl w:val="0"/>
        <w:rPr>
          <w:rFonts w:ascii="仿宋" w:hAnsi="仿宋" w:eastAsia="仿宋" w:cs="仿宋"/>
          <w:b/>
          <w:bCs/>
          <w:color w:val="auto"/>
          <w:sz w:val="36"/>
          <w:szCs w:val="36"/>
          <w:highlight w:val="none"/>
        </w:rPr>
      </w:pPr>
      <w:r>
        <w:rPr>
          <w:rFonts w:hint="eastAsia" w:ascii="仿宋" w:hAnsi="仿宋" w:eastAsia="仿宋" w:cs="仿宋"/>
          <w:bCs w:val="0"/>
          <w:color w:val="auto"/>
          <w:sz w:val="30"/>
          <w:szCs w:val="30"/>
          <w:highlight w:val="none"/>
          <w:lang w:val="en-US" w:eastAsia="zh-CN"/>
        </w:rPr>
        <w:br w:type="page"/>
      </w:r>
      <w:bookmarkStart w:id="204" w:name="_Toc1237"/>
      <w:r>
        <w:rPr>
          <w:rFonts w:hint="eastAsia" w:ascii="仿宋" w:hAnsi="仿宋" w:eastAsia="仿宋" w:cs="仿宋"/>
          <w:b/>
          <w:bCs/>
          <w:color w:val="auto"/>
          <w:sz w:val="36"/>
          <w:szCs w:val="36"/>
          <w:highlight w:val="none"/>
        </w:rPr>
        <w:t>第九章 评审方法</w:t>
      </w:r>
      <w:bookmarkEnd w:id="200"/>
      <w:bookmarkEnd w:id="201"/>
      <w:bookmarkEnd w:id="202"/>
      <w:bookmarkEnd w:id="203"/>
      <w:bookmarkEnd w:id="204"/>
    </w:p>
    <w:p w14:paraId="26D4ADCA">
      <w:pPr>
        <w:keepNext w:val="0"/>
        <w:keepLines w:val="0"/>
        <w:pageBreakBefore w:val="0"/>
        <w:widowControl w:val="0"/>
        <w:kinsoku/>
        <w:wordWrap/>
        <w:overflowPunct/>
        <w:topLinePunct w:val="0"/>
        <w:autoSpaceDE/>
        <w:autoSpaceDN/>
        <w:bidi w:val="0"/>
        <w:spacing w:line="560" w:lineRule="exact"/>
        <w:ind w:firstLine="570" w:firstLineChars="200"/>
        <w:outlineLvl w:val="1"/>
        <w:rPr>
          <w:rFonts w:hint="eastAsia" w:ascii="仿宋" w:hAnsi="仿宋" w:eastAsia="仿宋" w:cs="仿宋"/>
          <w:b/>
          <w:bCs/>
          <w:color w:val="auto"/>
          <w:sz w:val="28"/>
          <w:szCs w:val="28"/>
          <w:highlight w:val="none"/>
        </w:rPr>
      </w:pPr>
      <w:bookmarkStart w:id="205" w:name="_Toc101338358"/>
      <w:bookmarkStart w:id="206" w:name="_Toc101174146"/>
      <w:bookmarkStart w:id="207" w:name="_Toc101250640"/>
      <w:bookmarkStart w:id="208" w:name="_Toc209847065"/>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总则</w:t>
      </w:r>
    </w:p>
    <w:p w14:paraId="417C447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1.1 </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《乐山市市属国有企业阳光采购监督管理办法（试行）》及国家有关法律、法规和规章的规定，结合采购项目特点制定本</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方法。</w:t>
      </w:r>
    </w:p>
    <w:p w14:paraId="6769D09B">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1.2 </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工作由采购</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负责组织，具体磋商</w:t>
      </w:r>
      <w:r>
        <w:rPr>
          <w:rFonts w:hint="eastAsia" w:ascii="仿宋" w:hAnsi="仿宋" w:eastAsia="仿宋" w:cs="仿宋"/>
          <w:color w:val="auto"/>
          <w:sz w:val="28"/>
          <w:szCs w:val="28"/>
          <w:highlight w:val="none"/>
          <w:lang w:val="en-US" w:eastAsia="zh-CN"/>
        </w:rPr>
        <w:t>事务</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依法组建的</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负责。评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委员会由采购人代表和评审专家组成。</w:t>
      </w:r>
    </w:p>
    <w:p w14:paraId="52DE21FD">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1.3 </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工作应遵循公平、公正、科学及择优的原则，并以相同的</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程序和标准对待所有的供应商。</w:t>
      </w:r>
    </w:p>
    <w:p w14:paraId="765B6E4B">
      <w:pPr>
        <w:keepNext w:val="0"/>
        <w:keepLines w:val="0"/>
        <w:pageBreakBefore w:val="0"/>
        <w:widowControl w:val="0"/>
        <w:kinsoku/>
        <w:wordWrap/>
        <w:overflowPunct/>
        <w:topLinePunct w:val="0"/>
        <w:autoSpaceDE/>
        <w:autoSpaceDN/>
        <w:bidi w:val="0"/>
        <w:spacing w:line="560" w:lineRule="exact"/>
        <w:ind w:firstLine="570" w:firstLineChars="200"/>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2.评审委员会</w:t>
      </w:r>
    </w:p>
    <w:p w14:paraId="2766AE43">
      <w:pPr>
        <w:shd w:val="clear"/>
        <w:spacing w:line="560" w:lineRule="exact"/>
        <w:ind w:firstLine="57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2.1本项目评审委员会成员人数应为三人以上单数。</w:t>
      </w:r>
    </w:p>
    <w:p w14:paraId="34303D3F">
      <w:pPr>
        <w:shd w:val="clear"/>
        <w:spacing w:line="560" w:lineRule="exact"/>
        <w:ind w:firstLine="57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磋商委员会成员由下列情况之一的，应该回避：</w:t>
      </w:r>
    </w:p>
    <w:p w14:paraId="61B7D605">
      <w:pPr>
        <w:shd w:val="clear"/>
        <w:spacing w:line="560" w:lineRule="exact"/>
        <w:ind w:firstLine="57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（1）采购人或报价申请人的主要负责人的近亲属；</w:t>
      </w:r>
    </w:p>
    <w:p w14:paraId="3399896B">
      <w:pPr>
        <w:shd w:val="clear"/>
        <w:spacing w:line="560" w:lineRule="exact"/>
        <w:ind w:firstLine="57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（2）项目主管部门或者行政监督部门的人员；</w:t>
      </w:r>
    </w:p>
    <w:p w14:paraId="797997D9">
      <w:pPr>
        <w:shd w:val="clear"/>
        <w:spacing w:line="560" w:lineRule="exact"/>
        <w:ind w:firstLine="57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（3）与报价申请人有经济利益关系，可能影响对申请公正评审的；</w:t>
      </w:r>
    </w:p>
    <w:p w14:paraId="0730604F">
      <w:pPr>
        <w:shd w:val="clear"/>
        <w:spacing w:line="560" w:lineRule="exact"/>
        <w:ind w:firstLine="57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（4）曾因在采购、评标以及其他和采购申请有关活动中从事违法行为而收到行政处罚或刑事处罚的。</w:t>
      </w:r>
    </w:p>
    <w:p w14:paraId="3F9F8315">
      <w:pPr>
        <w:shd w:val="clear"/>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Times New Roman"/>
          <w:color w:val="auto"/>
          <w:sz w:val="28"/>
          <w:szCs w:val="28"/>
          <w:highlight w:val="none"/>
          <w:lang w:val="en-US" w:eastAsia="zh-CN"/>
        </w:rPr>
        <w:t>2.2评审委员会按照磋商文件规</w:t>
      </w:r>
      <w:r>
        <w:rPr>
          <w:rFonts w:hint="eastAsia" w:ascii="仿宋" w:hAnsi="仿宋" w:eastAsia="仿宋" w:cs="仿宋"/>
          <w:color w:val="auto"/>
          <w:sz w:val="28"/>
          <w:szCs w:val="28"/>
          <w:highlight w:val="none"/>
        </w:rPr>
        <w:t>定的磋商程序、评分方法和标准进行评审，并独立履行下列职责：</w:t>
      </w:r>
    </w:p>
    <w:p w14:paraId="1B3DB13A">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（一）熟悉和理解磋商文件，确定磋商文件内容是否违反国家有关强制性规定或者磋商文件存在歧义、重大缺陷，根据需要要求采购人、采购代理机构对磋商文件作出解释；</w:t>
      </w:r>
    </w:p>
    <w:p w14:paraId="38547FC8">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（二）审查供应商响应文件是否满足磋商文件要求，并作出公正评价；</w:t>
      </w:r>
    </w:p>
    <w:p w14:paraId="3EDF6751">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（三）根据需要要求供应商对响应文件中含义不明确、同类问题表述不一致或者有明显文字和计算错误的内容等作出必要的澄清、说明或者更正；</w:t>
      </w:r>
    </w:p>
    <w:p w14:paraId="73D1658E">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（四）推荐成交供应商，或者受采购人委托确定成交供应商；</w:t>
      </w:r>
    </w:p>
    <w:p w14:paraId="0B5D3B3E">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（五）起草评审报告并进行签署；</w:t>
      </w:r>
    </w:p>
    <w:p w14:paraId="3BA51C81">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（六）向监督部门报告非法干预评审工作的行为；</w:t>
      </w:r>
    </w:p>
    <w:p w14:paraId="54DFCA6D">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（七）法律、法规和规章规定的其他职责。</w:t>
      </w:r>
    </w:p>
    <w:p w14:paraId="07AABADD">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2.3</w:t>
      </w:r>
      <w:r>
        <w:rPr>
          <w:rFonts w:hint="eastAsia" w:ascii="仿宋" w:hAnsi="仿宋" w:eastAsia="仿宋" w:cs="仿宋"/>
          <w:b/>
          <w:bCs/>
          <w:color w:val="auto"/>
          <w:sz w:val="28"/>
          <w:szCs w:val="28"/>
          <w:highlight w:val="none"/>
        </w:rPr>
        <w:t xml:space="preserve"> （实质性要求）</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过程独立、保密。供应商非法干预</w:t>
      </w:r>
      <w:r>
        <w:rPr>
          <w:rFonts w:hint="eastAsia" w:ascii="仿宋" w:hAnsi="仿宋" w:eastAsia="仿宋" w:cs="仿宋"/>
          <w:color w:val="auto"/>
          <w:sz w:val="28"/>
          <w:szCs w:val="28"/>
          <w:highlight w:val="none"/>
          <w:lang w:val="en-US" w:eastAsia="zh-CN"/>
        </w:rPr>
        <w:t>评审</w:t>
      </w:r>
      <w:r>
        <w:rPr>
          <w:rFonts w:hint="eastAsia" w:ascii="仿宋" w:hAnsi="仿宋" w:eastAsia="仿宋" w:cs="仿宋"/>
          <w:color w:val="auto"/>
          <w:sz w:val="28"/>
          <w:szCs w:val="28"/>
          <w:highlight w:val="none"/>
        </w:rPr>
        <w:t>过程的，其响应文件作无效处理。</w:t>
      </w:r>
    </w:p>
    <w:p w14:paraId="65D3B9C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p>
    <w:bookmarkEnd w:id="205"/>
    <w:bookmarkEnd w:id="206"/>
    <w:bookmarkEnd w:id="207"/>
    <w:bookmarkEnd w:id="208"/>
    <w:p w14:paraId="2D051E47">
      <w:pPr>
        <w:keepNext w:val="0"/>
        <w:keepLines w:val="0"/>
        <w:pageBreakBefore w:val="0"/>
        <w:widowControl w:val="0"/>
        <w:kinsoku/>
        <w:wordWrap/>
        <w:overflowPunct/>
        <w:topLinePunct w:val="0"/>
        <w:autoSpaceDE/>
        <w:autoSpaceDN/>
        <w:bidi w:val="0"/>
        <w:spacing w:line="560" w:lineRule="exact"/>
        <w:ind w:firstLine="570" w:firstLineChars="200"/>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评审</w:t>
      </w:r>
      <w:r>
        <w:rPr>
          <w:rFonts w:hint="eastAsia" w:ascii="仿宋" w:hAnsi="仿宋" w:eastAsia="仿宋" w:cs="仿宋"/>
          <w:b/>
          <w:bCs/>
          <w:color w:val="auto"/>
          <w:sz w:val="28"/>
          <w:szCs w:val="28"/>
          <w:highlight w:val="none"/>
        </w:rPr>
        <w:t>程序</w:t>
      </w:r>
    </w:p>
    <w:p w14:paraId="70FA3E5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 审查磋商文件和停止评审。</w:t>
      </w:r>
    </w:p>
    <w:p w14:paraId="2611FB04">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.1.1 </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正式评审前，应当对磋商文件进行熟悉和理解，内容主要包括磋商文件中供应商资格条件要求、采购项目技术、服务和商务要求、磋商办法和标准、采购政策要求以及采购合同主要条款等。</w:t>
      </w:r>
    </w:p>
    <w:p w14:paraId="3D7EFFC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.1.2 本磋商文件有下列情形之一的，</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应当停止评审：</w:t>
      </w:r>
    </w:p>
    <w:p w14:paraId="0DC711E3">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（1）磋商文件的规定存在歧义、重大缺陷的；</w:t>
      </w:r>
    </w:p>
    <w:p w14:paraId="2C5DDEBB">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（2）磋商文件明显以不合理条件对供应商实行差别待遇或者歧视待遇的；</w:t>
      </w:r>
    </w:p>
    <w:p w14:paraId="6463A425">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（3）采购项目属于国家规定的优先、强制采购范围，但是磋商文件未依法体现优先、强制采购相关规定的；</w:t>
      </w:r>
    </w:p>
    <w:p w14:paraId="686E6BDF">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）磋商文件将供应商的资格条件列为评分因素的；</w:t>
      </w:r>
    </w:p>
    <w:p w14:paraId="48A87BD6">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）磋商文件载明的成交原则不合法的；</w:t>
      </w:r>
    </w:p>
    <w:p w14:paraId="461BF4DD">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）磋商文件有违反国家其他有关强制性规定的情形。</w:t>
      </w:r>
    </w:p>
    <w:p w14:paraId="21761012">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.1.3 出现本条</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.1.2规定应当停止评审情形的，</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应当向采购人书面说明情况。除本条规定的情形外，</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不得以任何方式和理由停止评审。</w:t>
      </w:r>
    </w:p>
    <w:p w14:paraId="035FD3A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 资格审查。</w:t>
      </w:r>
    </w:p>
    <w:p w14:paraId="553DE4D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.2.1本项目需要</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进行资格性检查。</w:t>
      </w:r>
    </w:p>
    <w:p w14:paraId="472EB86E">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应依据法律法规和磋商文件的规定，对响应文件是否按照规定要求提供资格性证明材料、是否属于禁止参加磋商的供应商等进行审查，以确定供应商是否具备磋商资格。</w:t>
      </w:r>
    </w:p>
    <w:p w14:paraId="77A83F8F">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.2.2资格性审查结束后，</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应当出具资格性审查报告，没有通过资格审查的供应商，</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应当在资格审查报告中说明原因。</w:t>
      </w:r>
    </w:p>
    <w:p w14:paraId="28C109F3">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应依据磋商文件规定的实质性要求，对符合资格的响应文件进行有效性、完整性和响应程度审查，以确定参加磋商的供应商名单。</w:t>
      </w:r>
    </w:p>
    <w:p w14:paraId="2D0499A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.2.4采购人宣布未通过资格性审查的供应商名单时，应当告知供应商未通过审查的原因。</w:t>
      </w:r>
    </w:p>
    <w:p w14:paraId="2D0AB49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.3 通过资格性审查的供应商不足3家的，终止本次采购活动，并发布终止采购活动公告。</w:t>
      </w:r>
    </w:p>
    <w:p w14:paraId="261BC084">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.4磋商。</w:t>
      </w:r>
    </w:p>
    <w:p w14:paraId="4D8D2E29">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.4.1</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所有成员集中与单一供应商分别进行一轮或多轮磋商，并给予所有参加磋商的供应商平等的磋商机会。磋商顺序</w:t>
      </w:r>
      <w:r>
        <w:rPr>
          <w:rFonts w:hint="eastAsia" w:ascii="仿宋" w:hAnsi="仿宋" w:eastAsia="仿宋" w:cs="仿宋"/>
          <w:color w:val="auto"/>
          <w:sz w:val="28"/>
          <w:szCs w:val="28"/>
          <w:highlight w:val="none"/>
          <w:lang w:val="en-US" w:eastAsia="zh-CN"/>
        </w:rPr>
        <w:t>不分先后</w:t>
      </w:r>
      <w:r>
        <w:rPr>
          <w:rFonts w:hint="eastAsia" w:ascii="仿宋" w:hAnsi="仿宋" w:eastAsia="仿宋" w:cs="仿宋"/>
          <w:color w:val="auto"/>
          <w:sz w:val="28"/>
          <w:szCs w:val="28"/>
          <w:highlight w:val="none"/>
        </w:rPr>
        <w:t>。磋商过程中，</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可以根据磋商情况调整磋商轮次。</w:t>
      </w:r>
    </w:p>
    <w:p w14:paraId="3E0742B5">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.4.2每轮磋商开始前，</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应根据磋商文件的规定，并结合各供应商的响应文件拟定磋商内容。</w:t>
      </w:r>
    </w:p>
    <w:p w14:paraId="60C07BEF">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.4.3在磋商过程中，</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可以根据磋商文件和磋商情况实质性变动磋商文件的技术、服务要求以及合同草案条款，但不得变动磋商文件中的其他内容。实质性变动的内容，须经采购人确认。</w:t>
      </w:r>
    </w:p>
    <w:p w14:paraId="3F46AB1E">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.4.4对磋商文件作出的实质性变动是磋商文件的有效组成部分，</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应当及时通知所有参加磋商的供应商。</w:t>
      </w:r>
    </w:p>
    <w:p w14:paraId="66B5FAB9">
      <w:pPr>
        <w:keepNext w:val="0"/>
        <w:keepLines w:val="0"/>
        <w:pageBreakBefore w:val="0"/>
        <w:widowControl w:val="0"/>
        <w:kinsoku/>
        <w:wordWrap/>
        <w:overflowPunct/>
        <w:topLinePunct w:val="0"/>
        <w:autoSpaceDE/>
        <w:autoSpaceDN/>
        <w:bidi w:val="0"/>
        <w:spacing w:before="0" w:line="560" w:lineRule="exact"/>
        <w:ind w:firstLine="570" w:firstLineChars="200"/>
        <w:jc w:val="left"/>
        <w:outlineLvl w:val="9"/>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lang w:val="en-US" w:eastAsia="zh-CN"/>
        </w:rPr>
        <w:t>3</w:t>
      </w:r>
      <w:r>
        <w:rPr>
          <w:rFonts w:hint="eastAsia" w:ascii="仿宋" w:hAnsi="仿宋" w:eastAsia="仿宋" w:cs="仿宋"/>
          <w:b w:val="0"/>
          <w:color w:val="auto"/>
          <w:sz w:val="28"/>
          <w:szCs w:val="28"/>
          <w:highlight w:val="none"/>
        </w:rPr>
        <w:t>.4.5磋商过程中，磋商文件变动的，供应商应当按照磋商文件的变动情况和</w:t>
      </w:r>
      <w:r>
        <w:rPr>
          <w:rFonts w:hint="eastAsia" w:ascii="仿宋" w:hAnsi="仿宋" w:eastAsia="仿宋" w:cs="仿宋"/>
          <w:b w:val="0"/>
          <w:color w:val="auto"/>
          <w:sz w:val="28"/>
          <w:szCs w:val="28"/>
          <w:highlight w:val="none"/>
          <w:lang w:eastAsia="zh-CN"/>
        </w:rPr>
        <w:t>评审委员会</w:t>
      </w:r>
      <w:r>
        <w:rPr>
          <w:rFonts w:hint="eastAsia" w:ascii="仿宋" w:hAnsi="仿宋" w:eastAsia="仿宋" w:cs="仿宋"/>
          <w:b w:val="0"/>
          <w:color w:val="auto"/>
          <w:sz w:val="28"/>
          <w:szCs w:val="28"/>
          <w:highlight w:val="none"/>
        </w:rPr>
        <w:t>的要求重新提交响应文件，并由其法定代表人/主要负责人/本人或其授权代表签字（注：供应商为法人的，应当由其法定代表人或者授权代表签字确认；供应商为其他组织的，应当由其主要负责人或者授权代表签字确认；供应商为自然人的，应当由其本人或者授权代表签字确认）或者加盖公章。磋商过程中，供应商根据磋商情况自行决定变更其响应文件的，</w:t>
      </w:r>
      <w:r>
        <w:rPr>
          <w:rFonts w:hint="eastAsia" w:ascii="仿宋" w:hAnsi="仿宋" w:eastAsia="仿宋" w:cs="仿宋"/>
          <w:b w:val="0"/>
          <w:color w:val="auto"/>
          <w:sz w:val="28"/>
          <w:szCs w:val="28"/>
          <w:highlight w:val="none"/>
          <w:lang w:eastAsia="zh-CN"/>
        </w:rPr>
        <w:t>评审委员会</w:t>
      </w:r>
      <w:r>
        <w:rPr>
          <w:rFonts w:hint="eastAsia" w:ascii="仿宋" w:hAnsi="仿宋" w:eastAsia="仿宋" w:cs="仿宋"/>
          <w:b w:val="0"/>
          <w:color w:val="auto"/>
          <w:sz w:val="28"/>
          <w:szCs w:val="28"/>
          <w:highlight w:val="none"/>
        </w:rPr>
        <w:t>不得拒绝，并应当给予供应商必要的时间，但是供应商变更其响应文件，应当以有利于满足磋商文件要求为原则，不得变更为不利于满足磋商文件规定，否则，其响应文件作为无效处理。</w:t>
      </w:r>
    </w:p>
    <w:p w14:paraId="31C824E3">
      <w:pPr>
        <w:pStyle w:val="16"/>
        <w:keepNext w:val="0"/>
        <w:keepLines w:val="0"/>
        <w:pageBreakBefore w:val="0"/>
        <w:widowControl w:val="0"/>
        <w:kinsoku/>
        <w:wordWrap/>
        <w:overflowPunct/>
        <w:topLinePunct w:val="0"/>
        <w:autoSpaceDE/>
        <w:autoSpaceDN/>
        <w:bidi w:val="0"/>
        <w:snapToGrid w:val="0"/>
        <w:spacing w:line="560" w:lineRule="exact"/>
        <w:ind w:firstLine="570" w:firstLineChars="2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.4.6磋商过程中，</w:t>
      </w:r>
      <w:r>
        <w:rPr>
          <w:rFonts w:hint="eastAsia" w:ascii="仿宋" w:hAnsi="仿宋" w:eastAsia="仿宋" w:cs="仿宋"/>
          <w:color w:val="auto"/>
          <w:sz w:val="28"/>
          <w:szCs w:val="28"/>
          <w:highlight w:val="none"/>
          <w:lang w:val="zh-CN"/>
        </w:rPr>
        <w:t>评审委员会对响应文件的有效性、完整性和响应程度进行审查，审查中发现供应商响应文件属于下列情况之一的，应按照无效响应文件处理：</w:t>
      </w:r>
    </w:p>
    <w:p w14:paraId="7C163A93">
      <w:pPr>
        <w:pStyle w:val="16"/>
        <w:keepNext w:val="0"/>
        <w:keepLines w:val="0"/>
        <w:pageBreakBefore w:val="0"/>
        <w:widowControl w:val="0"/>
        <w:kinsoku/>
        <w:wordWrap/>
        <w:overflowPunct/>
        <w:topLinePunct w:val="0"/>
        <w:autoSpaceDE/>
        <w:autoSpaceDN/>
        <w:bidi w:val="0"/>
        <w:adjustRightInd/>
        <w:snapToGrid w:val="0"/>
        <w:spacing w:line="560" w:lineRule="exact"/>
        <w:ind w:firstLine="427" w:firstLineChars="15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val="zh-CN"/>
        </w:rPr>
        <w:t>）响应文件组成明显不符合磋商文件的规定要求，影响评审委员会评判的；</w:t>
      </w:r>
    </w:p>
    <w:p w14:paraId="2CF16EAB">
      <w:pPr>
        <w:pStyle w:val="16"/>
        <w:keepNext w:val="0"/>
        <w:keepLines w:val="0"/>
        <w:pageBreakBefore w:val="0"/>
        <w:widowControl w:val="0"/>
        <w:kinsoku/>
        <w:wordWrap/>
        <w:overflowPunct/>
        <w:topLinePunct w:val="0"/>
        <w:autoSpaceDE/>
        <w:autoSpaceDN/>
        <w:bidi w:val="0"/>
        <w:adjustRightInd/>
        <w:snapToGrid w:val="0"/>
        <w:spacing w:line="560" w:lineRule="exact"/>
        <w:ind w:firstLine="427" w:firstLineChars="15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zh-CN"/>
        </w:rPr>
        <w:t>）响应文件的语言、计量单位、知识产权、响应有效期等不符合磋商文件的规定，影响评审委员会评判的；</w:t>
      </w:r>
    </w:p>
    <w:p w14:paraId="4A109DBA">
      <w:pPr>
        <w:pStyle w:val="16"/>
        <w:keepNext w:val="0"/>
        <w:keepLines w:val="0"/>
        <w:pageBreakBefore w:val="0"/>
        <w:widowControl w:val="0"/>
        <w:kinsoku/>
        <w:wordWrap/>
        <w:overflowPunct/>
        <w:topLinePunct w:val="0"/>
        <w:autoSpaceDE/>
        <w:autoSpaceDN/>
        <w:bidi w:val="0"/>
        <w:adjustRightInd/>
        <w:snapToGrid w:val="0"/>
        <w:spacing w:line="560" w:lineRule="exact"/>
        <w:ind w:firstLine="427" w:firstLineChars="15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zh-CN"/>
        </w:rPr>
        <w:t>）经最终磋商后，供应商的响应文件仍不能完全响应磋商文件的实质性要求的；</w:t>
      </w:r>
    </w:p>
    <w:p w14:paraId="6D0DF0FA">
      <w:pPr>
        <w:pStyle w:val="16"/>
        <w:keepNext w:val="0"/>
        <w:keepLines w:val="0"/>
        <w:pageBreakBefore w:val="0"/>
        <w:widowControl w:val="0"/>
        <w:kinsoku/>
        <w:wordWrap/>
        <w:overflowPunct/>
        <w:topLinePunct w:val="0"/>
        <w:autoSpaceDE/>
        <w:autoSpaceDN/>
        <w:bidi w:val="0"/>
        <w:adjustRightInd/>
        <w:snapToGrid w:val="0"/>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未载明或者载明的采购项目履约时间、方式、数量及采购合同实质性内容与本竞争性磋商文件要求不一致，且采购单位无法接受的。</w:t>
      </w:r>
    </w:p>
    <w:p w14:paraId="335A0020">
      <w:pPr>
        <w:keepNext w:val="0"/>
        <w:keepLines w:val="0"/>
        <w:pageBreakBefore w:val="0"/>
        <w:widowControl w:val="0"/>
        <w:kinsoku/>
        <w:wordWrap/>
        <w:overflowPunct/>
        <w:topLinePunct w:val="0"/>
        <w:autoSpaceDE/>
        <w:autoSpaceDN/>
        <w:bidi w:val="0"/>
        <w:adjustRightIn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属于竞争性磋商文件中无效响应情形的。</w:t>
      </w:r>
    </w:p>
    <w:p w14:paraId="5934D4B8">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lang w:val="zh-CN"/>
        </w:rPr>
        <w:t>对所有响应文件的有效性、完整性和响应程度进行审查</w:t>
      </w:r>
      <w:r>
        <w:rPr>
          <w:rFonts w:hint="eastAsia" w:ascii="仿宋" w:hAnsi="仿宋" w:eastAsia="仿宋" w:cs="仿宋"/>
          <w:color w:val="auto"/>
          <w:sz w:val="28"/>
          <w:szCs w:val="28"/>
          <w:highlight w:val="none"/>
        </w:rPr>
        <w:t>后，确定继续磋商的供应商名单。没有通过</w:t>
      </w:r>
      <w:r>
        <w:rPr>
          <w:rFonts w:hint="eastAsia" w:ascii="仿宋" w:hAnsi="仿宋" w:eastAsia="仿宋" w:cs="仿宋"/>
          <w:color w:val="auto"/>
          <w:sz w:val="28"/>
          <w:szCs w:val="28"/>
          <w:highlight w:val="none"/>
          <w:lang w:val="zh-CN"/>
        </w:rPr>
        <w:t>有效性、完整性和响应程度</w:t>
      </w:r>
      <w:r>
        <w:rPr>
          <w:rFonts w:hint="eastAsia" w:ascii="仿宋" w:hAnsi="仿宋" w:eastAsia="仿宋" w:cs="仿宋"/>
          <w:color w:val="auto"/>
          <w:sz w:val="28"/>
          <w:szCs w:val="28"/>
          <w:highlight w:val="none"/>
        </w:rPr>
        <w:t>审查的供应商，</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应在</w:t>
      </w:r>
      <w:r>
        <w:rPr>
          <w:rFonts w:hint="eastAsia" w:ascii="仿宋" w:hAnsi="仿宋" w:eastAsia="仿宋" w:cs="仿宋"/>
          <w:color w:val="auto"/>
          <w:sz w:val="28"/>
          <w:szCs w:val="28"/>
          <w:highlight w:val="none"/>
          <w:lang w:val="en-US" w:eastAsia="zh-CN"/>
        </w:rPr>
        <w:t>符合性</w:t>
      </w:r>
      <w:r>
        <w:rPr>
          <w:rFonts w:hint="eastAsia" w:ascii="仿宋" w:hAnsi="仿宋" w:eastAsia="仿宋" w:cs="仿宋"/>
          <w:color w:val="auto"/>
          <w:sz w:val="28"/>
          <w:szCs w:val="28"/>
          <w:highlight w:val="none"/>
        </w:rPr>
        <w:t>审查报告中说明原因。</w:t>
      </w:r>
    </w:p>
    <w:p w14:paraId="0A67D662">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.4.7磋商过程中，磋商的任何一方不得透露与磋商有关的其他供应商的技术资料、价格和其他信息。</w:t>
      </w:r>
    </w:p>
    <w:p w14:paraId="4E028ABE">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.4.8磋商过程中，</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发现或者知晓供应商存在违法、违纪行为的，</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应当将该供应商响应文件作无效处理，不允许其提交最后报价。</w:t>
      </w:r>
    </w:p>
    <w:p w14:paraId="2561A9E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.4.9磋商完成后，</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 xml:space="preserve">应出具磋商情况记录表，磋商情况记录表需包含磋商内容、磋商意见、实质性变动内容等。   </w:t>
      </w:r>
    </w:p>
    <w:p w14:paraId="5C0E449C">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.5最后报价。</w:t>
      </w:r>
    </w:p>
    <w:p w14:paraId="050A24D7">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.5.1磋商文件能够详细列明采购标的的技术、服务要求的，磋商结束后，</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应当要求所有实质性响应的供应商在规定时间内提交最后报价，提交最后报价的供应商不得少于3家。</w:t>
      </w:r>
    </w:p>
    <w:p w14:paraId="52C176E4">
      <w:pPr>
        <w:keepNext w:val="0"/>
        <w:keepLines w:val="0"/>
        <w:pageBreakBefore w:val="0"/>
        <w:widowControl w:val="0"/>
        <w:kinsoku/>
        <w:wordWrap/>
        <w:overflowPunct/>
        <w:topLinePunct w:val="0"/>
        <w:autoSpaceDE/>
        <w:autoSpaceDN/>
        <w:bidi w:val="0"/>
        <w:spacing w:line="560" w:lineRule="exact"/>
        <w:ind w:firstLine="57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磋商结束后，</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应当要求所有实质性响应的供应商在规定时间内提交最后报价。两轮（若有）以上报价的，供应商在未提高响应文件中承诺的产品及其服务质量的情况下，其最后报价不得高于对该项目之前的报价，否则，</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应当对其响应文件按无效处理，并告知供应商，说明理由。</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认为供应商最后报价明显低于成本价，在</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发出质询函后供应商未能提供合理的成本分析和价格构成的或对质询函的解释未被</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采信的，应按照无效文件处理。</w:t>
      </w:r>
    </w:p>
    <w:p w14:paraId="59A8E97F">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最后报价中的算术错误将按以下方法修正：</w:t>
      </w:r>
    </w:p>
    <w:p w14:paraId="38B812E5">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响应文件的大写金额和小写金额不一致的，以大写金额为准；</w:t>
      </w:r>
    </w:p>
    <w:p w14:paraId="634B239B">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w:t>
      </w:r>
    </w:p>
    <w:p w14:paraId="4F77C08B">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（3）单价金额小数点或者百分比有明显错位的，以总价为准，修正单价。</w:t>
      </w:r>
    </w:p>
    <w:p w14:paraId="446F3CA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同时出现两种以上不一致的，按照上述规定的顺序修正。修正后的报价经供应商确认后产生约束力，供应商不确认的，其响应文件作为无效处理。</w:t>
      </w:r>
    </w:p>
    <w:p w14:paraId="675CE121">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不得未经澄清、说明或者更正，直接将供应商响应文件作为无效处理。对不同文字文本响应文件的解释发生异议的，以中文文本为准。</w:t>
      </w:r>
    </w:p>
    <w:p w14:paraId="4122F2DB">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.6比较与评价。</w:t>
      </w:r>
      <w:r>
        <w:rPr>
          <w:rFonts w:hint="eastAsia" w:ascii="仿宋" w:hAnsi="仿宋" w:eastAsia="仿宋" w:cs="仿宋"/>
          <w:color w:val="auto"/>
          <w:sz w:val="28"/>
          <w:szCs w:val="28"/>
          <w:highlight w:val="none"/>
          <w:lang w:val="en-US" w:eastAsia="zh-CN"/>
        </w:rPr>
        <w:t>评审委员会</w:t>
      </w:r>
      <w:r>
        <w:rPr>
          <w:rFonts w:hint="eastAsia" w:ascii="仿宋" w:hAnsi="仿宋" w:eastAsia="仿宋" w:cs="仿宋"/>
          <w:color w:val="auto"/>
          <w:sz w:val="28"/>
          <w:szCs w:val="28"/>
          <w:highlight w:val="none"/>
        </w:rPr>
        <w:t>应当按照磋商文件规定的评</w:t>
      </w:r>
      <w:r>
        <w:rPr>
          <w:rFonts w:hint="eastAsia" w:ascii="仿宋" w:hAnsi="仿宋" w:eastAsia="仿宋" w:cs="仿宋"/>
          <w:color w:val="auto"/>
          <w:sz w:val="28"/>
          <w:szCs w:val="28"/>
          <w:highlight w:val="none"/>
          <w:lang w:val="en-US" w:eastAsia="zh-CN"/>
        </w:rPr>
        <w:t>审</w:t>
      </w:r>
      <w:r>
        <w:rPr>
          <w:rFonts w:hint="eastAsia" w:ascii="仿宋" w:hAnsi="仿宋" w:eastAsia="仿宋" w:cs="仿宋"/>
          <w:color w:val="auto"/>
          <w:sz w:val="28"/>
          <w:szCs w:val="28"/>
          <w:highlight w:val="none"/>
        </w:rPr>
        <w:t>细则及标准，对符合性检查合格的响应文件进行商务和技术评估，综合比较和评价。</w:t>
      </w:r>
    </w:p>
    <w:p w14:paraId="7A5B1113">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.7推荐成交候选供应商。</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根据综合评分情况，按照评审得分由高到低顺序推荐3家以上成交候选供应商，并编写磋商报告。评审得分相同的，按照最后报价由低到高的顺序推荐。评审得分且最后报价相同的，按照技术指标优劣顺序推荐。</w:t>
      </w:r>
    </w:p>
    <w:p w14:paraId="22800955">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复核。</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评分汇总结束后，</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应当进行评审复核，对拟推荐为成交候选供应商的、报价最低的、供应商资格审查未通过的、供应商响应文件作无效处理的重点复核。</w:t>
      </w:r>
    </w:p>
    <w:p w14:paraId="6F37BF5A">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编写磋商报告。</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推荐成交候选供应商后，应出具磋商报告。</w:t>
      </w:r>
    </w:p>
    <w:p w14:paraId="15FF5A49">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磋商异议处理规则。在磋商过程中，</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成员对响应文件是否符合磋商文件规定存在争议的，应当以少数服从多数的原则处理，但不违背磋商文件规定。有不同意见的</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成员认为认定过程和结果不符合法律法规或者磋商文件规定的，应当在磋商报告中予以反映。</w:t>
      </w:r>
    </w:p>
    <w:p w14:paraId="12492FCF">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终止磋商采购活动。</w:t>
      </w:r>
    </w:p>
    <w:p w14:paraId="0B5490CA">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出现下列情形之一的，采购人应当终止竞争性磋商采购活动，发布项目终止公告并说明原因，重新开展采购活动：</w:t>
      </w:r>
    </w:p>
    <w:p w14:paraId="78EA2CC5">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（1）因情况变化，不再符合规定的竞争性磋商采购方式适用情形的；</w:t>
      </w:r>
    </w:p>
    <w:p w14:paraId="097E4DC2">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00CB6EA4">
      <w:pPr>
        <w:keepNext w:val="0"/>
        <w:keepLines w:val="0"/>
        <w:pageBreakBefore w:val="0"/>
        <w:widowControl w:val="0"/>
        <w:kinsoku/>
        <w:wordWrap/>
        <w:overflowPunct/>
        <w:topLinePunct w:val="0"/>
        <w:autoSpaceDE/>
        <w:autoSpaceDN/>
        <w:bidi w:val="0"/>
        <w:adjustRightInd/>
        <w:snapToGrid/>
        <w:spacing w:line="560" w:lineRule="exact"/>
        <w:ind w:firstLine="427" w:firstLineChars="150"/>
        <w:textAlignment w:val="auto"/>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（3）在采购过程中符合要求的供应商或者报价未超过采购预算的供应商不足3家的。</w:t>
      </w:r>
    </w:p>
    <w:p w14:paraId="782079F5">
      <w:pPr>
        <w:keepNext w:val="0"/>
        <w:keepLines w:val="0"/>
        <w:pageBreakBefore w:val="0"/>
        <w:widowControl w:val="0"/>
        <w:kinsoku/>
        <w:wordWrap/>
        <w:overflowPunct/>
        <w:topLinePunct w:val="0"/>
        <w:autoSpaceDE/>
        <w:autoSpaceDN/>
        <w:bidi w:val="0"/>
        <w:spacing w:line="560" w:lineRule="exact"/>
        <w:ind w:firstLine="570" w:firstLineChars="200"/>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评审办法及标准</w:t>
      </w:r>
    </w:p>
    <w:p w14:paraId="45248FDB">
      <w:pPr>
        <w:keepNext w:val="0"/>
        <w:keepLines w:val="0"/>
        <w:pageBreakBefore w:val="0"/>
        <w:widowControl w:val="0"/>
        <w:kinsoku/>
        <w:wordWrap/>
        <w:overflowPunct/>
        <w:topLinePunct w:val="0"/>
        <w:autoSpaceDE/>
        <w:autoSpaceDN/>
        <w:bidi w:val="0"/>
        <w:spacing w:line="560" w:lineRule="exact"/>
        <w:ind w:firstLine="57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4.1评审办法：本次评审采用综合评分法，由评审委员会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6FA8F4D2">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成员应当</w:t>
      </w:r>
      <w:r>
        <w:rPr>
          <w:rFonts w:hint="eastAsia" w:ascii="仿宋" w:hAnsi="仿宋" w:eastAsia="仿宋" w:cs="仿宋"/>
          <w:color w:val="auto"/>
          <w:sz w:val="28"/>
          <w:szCs w:val="28"/>
          <w:highlight w:val="none"/>
          <w:lang w:val="en-US" w:eastAsia="zh-CN"/>
        </w:rPr>
        <w:t>依</w:t>
      </w:r>
      <w:r>
        <w:rPr>
          <w:rFonts w:hint="eastAsia" w:ascii="仿宋" w:hAnsi="仿宋" w:eastAsia="仿宋" w:cs="仿宋"/>
          <w:color w:val="auto"/>
          <w:sz w:val="28"/>
          <w:szCs w:val="28"/>
          <w:highlight w:val="none"/>
        </w:rPr>
        <w:t>据磋商文件规定的评分标准和方法独立对每个有效供应商的响应文件进行评价、打分。</w:t>
      </w:r>
    </w:p>
    <w:p w14:paraId="289D9819">
      <w:pPr>
        <w:pStyle w:val="12"/>
        <w:keepNext w:val="0"/>
        <w:keepLines w:val="0"/>
        <w:pageBreakBefore w:val="0"/>
        <w:widowControl w:val="0"/>
        <w:tabs>
          <w:tab w:val="left" w:pos="600"/>
        </w:tabs>
        <w:kinsoku/>
        <w:wordWrap/>
        <w:overflowPunct/>
        <w:topLinePunct w:val="0"/>
        <w:autoSpaceDE/>
        <w:autoSpaceDN/>
        <w:bidi w:val="0"/>
        <w:spacing w:line="560" w:lineRule="exact"/>
        <w:ind w:left="0" w:leftChars="0"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综合评分明细表</w:t>
      </w:r>
    </w:p>
    <w:p w14:paraId="25C51A7E">
      <w:pPr>
        <w:pStyle w:val="12"/>
        <w:keepNext w:val="0"/>
        <w:keepLines w:val="0"/>
        <w:pageBreakBefore w:val="0"/>
        <w:widowControl w:val="0"/>
        <w:tabs>
          <w:tab w:val="left" w:pos="600"/>
        </w:tabs>
        <w:kinsoku/>
        <w:wordWrap/>
        <w:overflowPunct/>
        <w:topLinePunct w:val="0"/>
        <w:autoSpaceDE/>
        <w:autoSpaceDN/>
        <w:bidi w:val="0"/>
        <w:spacing w:line="560" w:lineRule="exact"/>
        <w:ind w:left="0" w:leftChars="0"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.1综合评分明细表的制定以科学合理、降低评委会自由裁量权为原则。</w:t>
      </w:r>
    </w:p>
    <w:p w14:paraId="1E771966">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lang w:val="en-US" w:eastAsia="zh-CN"/>
        </w:rPr>
      </w:pPr>
    </w:p>
    <w:p w14:paraId="02332ED3">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lang w:val="en-US" w:eastAsia="zh-CN"/>
        </w:rPr>
      </w:pPr>
    </w:p>
    <w:p w14:paraId="16605DF9">
      <w:pPr>
        <w:keepNext w:val="0"/>
        <w:keepLines w:val="0"/>
        <w:pageBreakBefore w:val="0"/>
        <w:widowControl w:val="0"/>
        <w:kinsoku/>
        <w:wordWrap/>
        <w:overflowPunct/>
        <w:topLinePunct w:val="0"/>
        <w:autoSpaceDE/>
        <w:autoSpaceDN/>
        <w:bidi w:val="0"/>
        <w:spacing w:line="560" w:lineRule="exact"/>
        <w:ind w:firstLine="57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.2综合评分明细表</w:t>
      </w:r>
    </w:p>
    <w:tbl>
      <w:tblPr>
        <w:tblStyle w:val="33"/>
        <w:tblpPr w:leftFromText="180" w:rightFromText="180" w:vertAnchor="text" w:horzAnchor="page" w:tblpXSpec="center" w:tblpY="464"/>
        <w:tblOverlap w:val="never"/>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216"/>
        <w:gridCol w:w="945"/>
        <w:gridCol w:w="5165"/>
        <w:gridCol w:w="1271"/>
      </w:tblGrid>
      <w:tr w14:paraId="16A3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74" w:type="dxa"/>
            <w:noWrap w:val="0"/>
            <w:vAlign w:val="center"/>
          </w:tcPr>
          <w:p w14:paraId="53ADCD82">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1216" w:type="dxa"/>
            <w:noWrap w:val="0"/>
            <w:vAlign w:val="center"/>
          </w:tcPr>
          <w:p w14:paraId="67B74F34">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评分因素</w:t>
            </w:r>
          </w:p>
          <w:p w14:paraId="2C9D084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及权重</w:t>
            </w:r>
          </w:p>
        </w:tc>
        <w:tc>
          <w:tcPr>
            <w:tcW w:w="945" w:type="dxa"/>
            <w:noWrap w:val="0"/>
            <w:vAlign w:val="center"/>
          </w:tcPr>
          <w:p w14:paraId="056D2F3D">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分值</w:t>
            </w:r>
          </w:p>
        </w:tc>
        <w:tc>
          <w:tcPr>
            <w:tcW w:w="5165" w:type="dxa"/>
            <w:noWrap w:val="0"/>
            <w:vAlign w:val="center"/>
          </w:tcPr>
          <w:p w14:paraId="396BA9CA">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评分标准</w:t>
            </w:r>
          </w:p>
        </w:tc>
        <w:tc>
          <w:tcPr>
            <w:tcW w:w="1271" w:type="dxa"/>
            <w:noWrap w:val="0"/>
            <w:vAlign w:val="center"/>
          </w:tcPr>
          <w:p w14:paraId="54F57D1D">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说    明</w:t>
            </w:r>
          </w:p>
        </w:tc>
      </w:tr>
      <w:tr w14:paraId="0828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474" w:type="dxa"/>
            <w:noWrap w:val="0"/>
            <w:vAlign w:val="center"/>
          </w:tcPr>
          <w:p w14:paraId="3656412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216" w:type="dxa"/>
            <w:noWrap w:val="0"/>
            <w:vAlign w:val="center"/>
          </w:tcPr>
          <w:p w14:paraId="42DFF7A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报价10%</w:t>
            </w:r>
          </w:p>
        </w:tc>
        <w:tc>
          <w:tcPr>
            <w:tcW w:w="945" w:type="dxa"/>
            <w:noWrap w:val="0"/>
            <w:vAlign w:val="center"/>
          </w:tcPr>
          <w:p w14:paraId="1A27F5EE">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5165" w:type="dxa"/>
            <w:shd w:val="clear" w:color="auto" w:fill="auto"/>
            <w:noWrap w:val="0"/>
            <w:vAlign w:val="center"/>
          </w:tcPr>
          <w:p w14:paraId="1E29E24D">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以本次有效的最终报价（最低报价）为评标基准价，其价格分为满分。其他供应商的价格分统一按照下列公式计算：</w:t>
            </w:r>
          </w:p>
          <w:p w14:paraId="301C1FC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投标报价得分=评标基准价／投标价*10*100%</w:t>
            </w:r>
          </w:p>
          <w:p w14:paraId="5ECFE7F7">
            <w:pPr>
              <w:pStyle w:val="11"/>
              <w:rPr>
                <w:rFonts w:hint="eastAsia"/>
                <w:color w:val="auto"/>
                <w:highlight w:val="none"/>
                <w:lang w:val="en-US" w:eastAsia="zh-CN"/>
              </w:rPr>
            </w:pPr>
            <w:r>
              <w:rPr>
                <w:rFonts w:hint="eastAsia" w:ascii="仿宋" w:hAnsi="仿宋" w:eastAsia="仿宋" w:cs="仿宋"/>
                <w:bCs/>
                <w:color w:val="auto"/>
                <w:sz w:val="22"/>
                <w:szCs w:val="20"/>
                <w:highlight w:val="none"/>
                <w:lang w:val="en-US" w:eastAsia="zh-CN" w:bidi="ar-SA"/>
              </w:rPr>
              <w:t>注：无效报价：供应商报价低于采购预算50%或者低于其他有效供应商报价算术平均价40%</w:t>
            </w:r>
          </w:p>
        </w:tc>
        <w:tc>
          <w:tcPr>
            <w:tcW w:w="1271" w:type="dxa"/>
            <w:noWrap w:val="0"/>
            <w:vAlign w:val="center"/>
          </w:tcPr>
          <w:p w14:paraId="3A1414C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w:t>
            </w:r>
          </w:p>
          <w:p w14:paraId="4976DC4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评分因素</w:t>
            </w:r>
          </w:p>
        </w:tc>
      </w:tr>
      <w:tr w14:paraId="7EC5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74" w:type="dxa"/>
            <w:noWrap w:val="0"/>
            <w:vAlign w:val="center"/>
          </w:tcPr>
          <w:p w14:paraId="3BDC5884">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216" w:type="dxa"/>
            <w:noWrap w:val="0"/>
            <w:vAlign w:val="center"/>
          </w:tcPr>
          <w:p w14:paraId="6C6266A4">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实施方案</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60% </w:t>
            </w:r>
          </w:p>
        </w:tc>
        <w:tc>
          <w:tcPr>
            <w:tcW w:w="945" w:type="dxa"/>
            <w:noWrap w:val="0"/>
            <w:vAlign w:val="center"/>
          </w:tcPr>
          <w:p w14:paraId="684E850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60分</w:t>
            </w:r>
          </w:p>
        </w:tc>
        <w:tc>
          <w:tcPr>
            <w:tcW w:w="5165" w:type="dxa"/>
            <w:noWrap w:val="0"/>
            <w:vAlign w:val="center"/>
          </w:tcPr>
          <w:p w14:paraId="20BD0138">
            <w:pPr>
              <w:pStyle w:val="76"/>
              <w:keepNext w:val="0"/>
              <w:keepLines w:val="0"/>
              <w:pageBreakBefore w:val="0"/>
              <w:kinsoku/>
              <w:wordWrap/>
              <w:overflowPunct/>
              <w:topLinePunct w:val="0"/>
              <w:autoSpaceDE/>
              <w:autoSpaceDN/>
              <w:bidi w:val="0"/>
              <w:spacing w:line="360" w:lineRule="auto"/>
              <w:ind w:right="185" w:rightChars="0"/>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供应商针对本项目的实施方案包含但不限于：</w:t>
            </w:r>
          </w:p>
          <w:p w14:paraId="79FC0DB5">
            <w:pPr>
              <w:pStyle w:val="76"/>
              <w:keepNext w:val="0"/>
              <w:keepLines w:val="0"/>
              <w:pageBreakBefore w:val="0"/>
              <w:kinsoku/>
              <w:wordWrap/>
              <w:overflowPunct/>
              <w:topLinePunct w:val="0"/>
              <w:autoSpaceDE/>
              <w:autoSpaceDN/>
              <w:bidi w:val="0"/>
              <w:spacing w:line="360" w:lineRule="auto"/>
              <w:ind w:right="185" w:rightChars="0"/>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①评审内容；②评审方法；③评审工作步骤；④针对本项目重点及难点分析；⑤评审质量控制措施；⑥评审计划安排及进度控制措施；⑦争议问题处理；⑧评审廉政管理措施等；⑨评审完后期配合审计服务内容；以上9项内容，完全符合项目要求的得60分，每有一项内容缺失的扣7分，每有一项内容不足或错误的扣3分，直至项目分值扣完为止；不提供的不得分。</w:t>
            </w:r>
          </w:p>
          <w:p w14:paraId="54802D2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both"/>
              <w:textAlignment w:val="auto"/>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注：（1）内容不足是指内容简单不详尽，或内容描述不清晰，或内容存在前后矛盾，或内容与采购项目无关，或内容不利于采购人，或内容夸大其词，或客观内容无相关证明材料佐证，或内容存在其他不适用项目要求的情形。</w:t>
            </w:r>
          </w:p>
          <w:p w14:paraId="7599A24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both"/>
              <w:textAlignment w:val="auto"/>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（2）内容错误是指项目名称错误，或服务地点错误，或逻辑错误，或存在歧义，或存在其他与项目实际情况不一致的错误。</w:t>
            </w:r>
          </w:p>
        </w:tc>
        <w:tc>
          <w:tcPr>
            <w:tcW w:w="1271" w:type="dxa"/>
            <w:noWrap w:val="0"/>
            <w:vAlign w:val="center"/>
          </w:tcPr>
          <w:p w14:paraId="0D043DC2">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技术类</w:t>
            </w:r>
          </w:p>
          <w:p w14:paraId="2D53CA2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评分因素</w:t>
            </w:r>
          </w:p>
        </w:tc>
      </w:tr>
      <w:tr w14:paraId="327A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4" w:type="dxa"/>
            <w:noWrap w:val="0"/>
            <w:vAlign w:val="center"/>
          </w:tcPr>
          <w:p w14:paraId="70F5DFE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216" w:type="dxa"/>
            <w:noWrap w:val="0"/>
            <w:vAlign w:val="center"/>
          </w:tcPr>
          <w:p w14:paraId="235615C1">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人员配置15%</w:t>
            </w:r>
          </w:p>
        </w:tc>
        <w:tc>
          <w:tcPr>
            <w:tcW w:w="945" w:type="dxa"/>
            <w:noWrap w:val="0"/>
            <w:vAlign w:val="center"/>
          </w:tcPr>
          <w:p w14:paraId="4010AF64">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15分</w:t>
            </w:r>
          </w:p>
        </w:tc>
        <w:tc>
          <w:tcPr>
            <w:tcW w:w="5165" w:type="dxa"/>
            <w:noWrap w:val="0"/>
            <w:vAlign w:val="center"/>
          </w:tcPr>
          <w:p w14:paraId="3B02F2C5">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1、项目负责人(1人)：具有全国注册造价工程师（一级造价工程师）土建专业的得2分；同时具有工程造价类高级及以上职称的加1分。本项最多得3分。</w:t>
            </w:r>
          </w:p>
          <w:p w14:paraId="467E65B7">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2、技术负责人（1人）：具有全国注册造价工程师（一级造价工程师）土建专业的得2分，同时具有高级及以上职称的加1分。本项最多得3分。</w:t>
            </w:r>
          </w:p>
          <w:p w14:paraId="12633F24">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3、土建专业负责人(1人)：具有全国注册造价工程师（二级造价工程师）土建专业的得2分，同时具有工程造价类中级及以上职称的加1分。本项最多得3分。</w:t>
            </w:r>
          </w:p>
          <w:p w14:paraId="7CA4B08F">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4、安装专业负责人(1人)：具有全国注册造价工程师（二级造价工程师）安装专业的得2分，同时具有工程造价类中级及以上职称的加1分。本项最多得3分。</w:t>
            </w:r>
          </w:p>
          <w:p w14:paraId="4497764A">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5、其他主要技术人员：每具有1名注册造价工程师（二级造价工程师）土建或安装专业得1分；本项最多得3分。</w:t>
            </w:r>
          </w:p>
          <w:p w14:paraId="583C03FC">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注：上述人员不重复计算，需为本单位人员，且证书注册在本单位，提供有效的相关证书复印件和在职证明材料并加盖供应商公章。</w:t>
            </w:r>
          </w:p>
        </w:tc>
        <w:tc>
          <w:tcPr>
            <w:tcW w:w="1271" w:type="dxa"/>
            <w:noWrap w:val="0"/>
            <w:vAlign w:val="center"/>
          </w:tcPr>
          <w:p w14:paraId="28DDB36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w:t>
            </w:r>
          </w:p>
          <w:p w14:paraId="1FAC400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评分因素</w:t>
            </w:r>
          </w:p>
        </w:tc>
      </w:tr>
      <w:tr w14:paraId="062F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jc w:val="center"/>
        </w:trPr>
        <w:tc>
          <w:tcPr>
            <w:tcW w:w="474" w:type="dxa"/>
            <w:noWrap w:val="0"/>
            <w:vAlign w:val="center"/>
          </w:tcPr>
          <w:p w14:paraId="49BAE5BB">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216" w:type="dxa"/>
            <w:noWrap w:val="0"/>
            <w:vAlign w:val="center"/>
          </w:tcPr>
          <w:p w14:paraId="2E18D2D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业绩15%</w:t>
            </w:r>
          </w:p>
        </w:tc>
        <w:tc>
          <w:tcPr>
            <w:tcW w:w="945" w:type="dxa"/>
            <w:noWrap w:val="0"/>
            <w:vAlign w:val="center"/>
          </w:tcPr>
          <w:p w14:paraId="5A12945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15分</w:t>
            </w:r>
          </w:p>
        </w:tc>
        <w:tc>
          <w:tcPr>
            <w:tcW w:w="5165" w:type="dxa"/>
            <w:noWrap w:val="0"/>
            <w:vAlign w:val="center"/>
          </w:tcPr>
          <w:p w14:paraId="521D0C29">
            <w:pPr>
              <w:spacing w:line="274" w:lineRule="auto"/>
              <w:ind w:left="41" w:right="25" w:hanging="4"/>
              <w:jc w:val="both"/>
              <w:rPr>
                <w:rFonts w:hint="eastAsia" w:ascii="仿宋" w:hAnsi="仿宋" w:eastAsia="仿宋" w:cs="仿宋"/>
                <w:bCs/>
                <w:color w:val="auto"/>
                <w:sz w:val="24"/>
                <w:szCs w:val="21"/>
                <w:highlight w:val="none"/>
                <w:lang w:val="en-US" w:eastAsia="zh-CN" w:bidi="ar-SA"/>
              </w:rPr>
            </w:pPr>
            <w:r>
              <w:rPr>
                <w:rFonts w:hint="eastAsia" w:ascii="仿宋" w:hAnsi="仿宋" w:eastAsia="仿宋" w:cs="仿宋"/>
                <w:bCs/>
                <w:color w:val="auto"/>
                <w:sz w:val="24"/>
                <w:szCs w:val="21"/>
                <w:highlight w:val="none"/>
                <w:lang w:val="en-US" w:eastAsia="zh-CN" w:bidi="ar-SA"/>
              </w:rPr>
              <w:t>供应商2020年1月1日以来具有1个类似项目业绩的得5分，每增加一个类似项目业绩加5分，本项最高得15分。</w:t>
            </w:r>
          </w:p>
          <w:p w14:paraId="3D861F18">
            <w:pPr>
              <w:spacing w:line="274" w:lineRule="auto"/>
              <w:ind w:left="41" w:right="25" w:hanging="4"/>
              <w:jc w:val="both"/>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1"/>
                <w:highlight w:val="none"/>
                <w:lang w:val="en-US" w:eastAsia="zh-CN" w:bidi="ar-SA"/>
              </w:rPr>
              <w:t>注：提供中标（成交）通知书或合同复印件加盖供应商鲜章。</w:t>
            </w:r>
          </w:p>
        </w:tc>
        <w:tc>
          <w:tcPr>
            <w:tcW w:w="1271" w:type="dxa"/>
            <w:noWrap w:val="0"/>
            <w:vAlign w:val="center"/>
          </w:tcPr>
          <w:p w14:paraId="57CC8E89">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w:t>
            </w:r>
          </w:p>
          <w:p w14:paraId="77FE749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评分因素</w:t>
            </w:r>
          </w:p>
        </w:tc>
      </w:tr>
    </w:tbl>
    <w:p w14:paraId="2F7E00E8">
      <w:pPr>
        <w:spacing w:line="560" w:lineRule="exact"/>
        <w:ind w:firstLine="570"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注：</w:t>
      </w:r>
    </w:p>
    <w:p w14:paraId="26213307">
      <w:pPr>
        <w:spacing w:line="560" w:lineRule="exact"/>
        <w:ind w:firstLine="57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①</w:t>
      </w:r>
      <w:r>
        <w:rPr>
          <w:rFonts w:hint="eastAsia" w:ascii="仿宋" w:hAnsi="仿宋" w:eastAsia="仿宋" w:cs="仿宋"/>
          <w:color w:val="auto"/>
          <w:sz w:val="28"/>
          <w:szCs w:val="28"/>
          <w:highlight w:val="none"/>
          <w:lang w:val="en-US" w:eastAsia="zh-CN"/>
        </w:rPr>
        <w:t>评分的取值按四舍五入法，保留两位小数。</w:t>
      </w:r>
    </w:p>
    <w:p w14:paraId="142EDA79">
      <w:pPr>
        <w:spacing w:line="560" w:lineRule="exact"/>
        <w:ind w:firstLine="57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②评标总得分＝F1＋F2＋……＋Fn，F1、F2……Fn 分别为各项评分因素的汇总得分的平均值。</w:t>
      </w:r>
    </w:p>
    <w:p w14:paraId="088030F3">
      <w:pPr>
        <w:spacing w:line="560" w:lineRule="exact"/>
        <w:ind w:firstLine="57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w:t>
      </w:r>
      <w:r>
        <w:rPr>
          <w:rFonts w:hint="eastAsia" w:ascii="仿宋" w:hAnsi="仿宋" w:eastAsia="仿宋" w:cs="仿宋"/>
          <w:color w:val="auto"/>
          <w:sz w:val="28"/>
          <w:szCs w:val="28"/>
          <w:highlight w:val="none"/>
        </w:rPr>
        <w:t>评分表中供应商提供的佐证材料不作为资格性和符合性的审查内容</w:t>
      </w:r>
      <w:r>
        <w:rPr>
          <w:rFonts w:hint="eastAsia" w:ascii="仿宋" w:hAnsi="仿宋" w:eastAsia="仿宋" w:cs="仿宋"/>
          <w:color w:val="auto"/>
          <w:sz w:val="28"/>
          <w:szCs w:val="28"/>
          <w:highlight w:val="none"/>
          <w:lang w:eastAsia="zh-CN"/>
        </w:rPr>
        <w:t>。</w:t>
      </w:r>
    </w:p>
    <w:p w14:paraId="3099F8EC">
      <w:pPr>
        <w:pStyle w:val="11"/>
        <w:spacing w:line="560" w:lineRule="exact"/>
        <w:ind w:firstLine="57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rPr>
        <w:t>评分表中供应商提供的佐证材料涉及外文的，需提供原版证书复印件，并自行对照翻译为中文，否则作不得分处理。</w:t>
      </w:r>
    </w:p>
    <w:p w14:paraId="683F3D5C">
      <w:pPr>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90" w:firstLineChars="200"/>
        <w:textAlignment w:val="auto"/>
        <w:rPr>
          <w:rFonts w:hint="eastAsia" w:ascii="宋体" w:hAnsi="宋体" w:eastAsia="宋体" w:cs="宋体"/>
          <w:b/>
          <w:color w:val="auto"/>
          <w:sz w:val="24"/>
          <w:highlight w:val="none"/>
        </w:rPr>
      </w:pPr>
    </w:p>
    <w:p w14:paraId="37281EE9">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.磋商纪律及注意事项</w:t>
      </w:r>
    </w:p>
    <w:p w14:paraId="2088970D">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内部讨论的情况和意见必须保密，任何人不得以任何形式透露给供应商或与供应商有关的单位或个人。</w:t>
      </w:r>
    </w:p>
    <w:p w14:paraId="38EA7A25">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.2在磋商过程中，供应商不得以任何形式对</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成员进行旨在影响磋商结果的私下接触，否则将取消其参与磋商的资格。</w:t>
      </w:r>
    </w:p>
    <w:p w14:paraId="77F29503">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.3对各供应商的商业秘密，</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成员应予以保密，不得泄露给其他供应商。</w:t>
      </w:r>
    </w:p>
    <w:p w14:paraId="1E8FCFD2">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.4 </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独立评判，推荐成交候选人，并</w:t>
      </w:r>
      <w:r>
        <w:rPr>
          <w:rFonts w:hint="eastAsia" w:ascii="仿宋" w:hAnsi="仿宋" w:eastAsia="仿宋" w:cs="仿宋"/>
          <w:color w:val="auto"/>
          <w:sz w:val="28"/>
          <w:szCs w:val="28"/>
          <w:highlight w:val="none"/>
          <w:lang w:val="en-US" w:eastAsia="zh-CN"/>
        </w:rPr>
        <w:t>出具评审</w:t>
      </w:r>
      <w:r>
        <w:rPr>
          <w:rFonts w:hint="eastAsia" w:ascii="仿宋" w:hAnsi="仿宋" w:eastAsia="仿宋" w:cs="仿宋"/>
          <w:color w:val="auto"/>
          <w:sz w:val="28"/>
          <w:szCs w:val="28"/>
          <w:highlight w:val="none"/>
        </w:rPr>
        <w:t>报告。</w:t>
      </w:r>
    </w:p>
    <w:p w14:paraId="41252F20">
      <w:pPr>
        <w:keepNext w:val="0"/>
        <w:keepLines w:val="0"/>
        <w:pageBreakBefore w:val="0"/>
        <w:widowControl w:val="0"/>
        <w:tabs>
          <w:tab w:val="left" w:pos="851"/>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.5 </w:t>
      </w:r>
      <w:r>
        <w:rPr>
          <w:rFonts w:hint="eastAsia" w:ascii="仿宋" w:hAnsi="仿宋" w:eastAsia="仿宋" w:cs="仿宋"/>
          <w:color w:val="auto"/>
          <w:sz w:val="28"/>
          <w:szCs w:val="28"/>
          <w:highlight w:val="none"/>
          <w:lang w:eastAsia="zh-CN"/>
        </w:rPr>
        <w:t>评审委员会</w:t>
      </w:r>
      <w:r>
        <w:rPr>
          <w:rFonts w:hint="eastAsia" w:ascii="仿宋" w:hAnsi="仿宋" w:eastAsia="仿宋" w:cs="仿宋"/>
          <w:color w:val="auto"/>
          <w:sz w:val="28"/>
          <w:szCs w:val="28"/>
          <w:highlight w:val="none"/>
        </w:rPr>
        <w:t>可根据需要对供应商进行实地考察。</w:t>
      </w:r>
    </w:p>
    <w:p w14:paraId="14D824B3">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outlineLvl w:val="9"/>
        <w:rPr>
          <w:rFonts w:hint="eastAsia" w:ascii="仿宋" w:hAnsi="仿宋" w:eastAsia="仿宋" w:cs="仿宋"/>
          <w:b/>
          <w:bCs/>
          <w:color w:val="auto"/>
          <w:sz w:val="28"/>
          <w:szCs w:val="28"/>
          <w:highlight w:val="none"/>
        </w:rPr>
      </w:pPr>
    </w:p>
    <w:p w14:paraId="28C9646C">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outlineLvl w:val="1"/>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w:t>
      </w:r>
      <w:r>
        <w:rPr>
          <w:rFonts w:hint="eastAsia" w:ascii="仿宋" w:hAnsi="仿宋" w:eastAsia="仿宋" w:cs="仿宋"/>
          <w:b/>
          <w:color w:val="auto"/>
          <w:sz w:val="28"/>
          <w:szCs w:val="28"/>
          <w:highlight w:val="none"/>
          <w:lang w:eastAsia="zh-CN"/>
        </w:rPr>
        <w:t>评审委员会</w:t>
      </w:r>
      <w:r>
        <w:rPr>
          <w:rFonts w:hint="eastAsia" w:ascii="仿宋" w:hAnsi="仿宋" w:eastAsia="仿宋" w:cs="仿宋"/>
          <w:b/>
          <w:color w:val="auto"/>
          <w:sz w:val="28"/>
          <w:szCs w:val="28"/>
          <w:highlight w:val="none"/>
        </w:rPr>
        <w:t>在采购活动中承担以下义务：</w:t>
      </w:r>
    </w:p>
    <w:p w14:paraId="292A7982">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6.1</w:t>
      </w:r>
      <w:r>
        <w:rPr>
          <w:rFonts w:hint="eastAsia" w:ascii="仿宋" w:hAnsi="仿宋" w:eastAsia="仿宋" w:cs="仿宋"/>
          <w:color w:val="auto"/>
          <w:sz w:val="28"/>
          <w:szCs w:val="28"/>
          <w:highlight w:val="none"/>
        </w:rPr>
        <w:t>遵守评审工作纪律；</w:t>
      </w:r>
    </w:p>
    <w:p w14:paraId="779D7943">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6.2</w:t>
      </w:r>
      <w:r>
        <w:rPr>
          <w:rFonts w:hint="eastAsia" w:ascii="仿宋" w:hAnsi="仿宋" w:eastAsia="仿宋" w:cs="仿宋"/>
          <w:color w:val="auto"/>
          <w:sz w:val="28"/>
          <w:szCs w:val="28"/>
          <w:highlight w:val="none"/>
        </w:rPr>
        <w:t>按照客观、公正、审慎的原则，根据磋商文件规定的评审程序、评审方法和评审标准进行独立评审；</w:t>
      </w:r>
    </w:p>
    <w:p w14:paraId="77E5464B">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6.3</w:t>
      </w:r>
      <w:r>
        <w:rPr>
          <w:rFonts w:hint="eastAsia" w:ascii="仿宋" w:hAnsi="仿宋" w:eastAsia="仿宋" w:cs="仿宋"/>
          <w:color w:val="auto"/>
          <w:sz w:val="28"/>
          <w:szCs w:val="28"/>
          <w:highlight w:val="none"/>
        </w:rPr>
        <w:t>不得泄露评审文件、评审情况和在评审过程中获悉的商业秘密；</w:t>
      </w:r>
    </w:p>
    <w:p w14:paraId="2CF4A9EF">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6.4</w:t>
      </w:r>
      <w:r>
        <w:rPr>
          <w:rFonts w:hint="eastAsia" w:ascii="仿宋" w:hAnsi="仿宋" w:eastAsia="仿宋" w:cs="仿宋"/>
          <w:color w:val="auto"/>
          <w:sz w:val="28"/>
          <w:szCs w:val="28"/>
          <w:highlight w:val="none"/>
        </w:rPr>
        <w:t>及时向</w:t>
      </w:r>
      <w:r>
        <w:rPr>
          <w:rFonts w:hint="eastAsia" w:ascii="仿宋" w:hAnsi="仿宋" w:eastAsia="仿宋" w:cs="仿宋"/>
          <w:color w:val="auto"/>
          <w:sz w:val="28"/>
          <w:szCs w:val="28"/>
          <w:highlight w:val="none"/>
          <w:lang w:val="en-US" w:eastAsia="zh-CN"/>
        </w:rPr>
        <w:t>监管部门</w:t>
      </w:r>
      <w:r>
        <w:rPr>
          <w:rFonts w:hint="eastAsia" w:ascii="仿宋" w:hAnsi="仿宋" w:eastAsia="仿宋" w:cs="仿宋"/>
          <w:color w:val="auto"/>
          <w:sz w:val="28"/>
          <w:szCs w:val="28"/>
          <w:highlight w:val="none"/>
        </w:rPr>
        <w:t>报告评审过程中发现的供应商行贿、提供虚假材料或者串通等违法行为；</w:t>
      </w:r>
    </w:p>
    <w:p w14:paraId="4750BF31">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6.5</w:t>
      </w:r>
      <w:r>
        <w:rPr>
          <w:rFonts w:hint="eastAsia" w:ascii="仿宋" w:hAnsi="仿宋" w:eastAsia="仿宋" w:cs="仿宋"/>
          <w:color w:val="auto"/>
          <w:sz w:val="28"/>
          <w:szCs w:val="28"/>
          <w:highlight w:val="none"/>
        </w:rPr>
        <w:t>发现磋商文件内容违反国家有关强制性规定或者磋商文件存在歧义、重大缺陷导致评审工作无法进行时，停止评审并向采购人书面说明情况；</w:t>
      </w:r>
    </w:p>
    <w:p w14:paraId="730483DC">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6.6</w:t>
      </w:r>
      <w:r>
        <w:rPr>
          <w:rFonts w:hint="eastAsia" w:ascii="仿宋" w:hAnsi="仿宋" w:eastAsia="仿宋" w:cs="仿宋"/>
          <w:color w:val="auto"/>
          <w:sz w:val="28"/>
          <w:szCs w:val="28"/>
          <w:highlight w:val="none"/>
        </w:rPr>
        <w:t>及时向</w:t>
      </w:r>
      <w:r>
        <w:rPr>
          <w:rFonts w:hint="eastAsia" w:ascii="仿宋" w:hAnsi="仿宋" w:eastAsia="仿宋" w:cs="仿宋"/>
          <w:color w:val="auto"/>
          <w:sz w:val="28"/>
          <w:szCs w:val="28"/>
          <w:highlight w:val="none"/>
          <w:lang w:val="en-US" w:eastAsia="zh-CN"/>
        </w:rPr>
        <w:t>监督</w:t>
      </w:r>
      <w:r>
        <w:rPr>
          <w:rFonts w:hint="eastAsia" w:ascii="仿宋" w:hAnsi="仿宋" w:eastAsia="仿宋" w:cs="仿宋"/>
          <w:color w:val="auto"/>
          <w:sz w:val="28"/>
          <w:szCs w:val="28"/>
          <w:highlight w:val="none"/>
        </w:rPr>
        <w:t>部门</w:t>
      </w:r>
      <w:r>
        <w:rPr>
          <w:rFonts w:hint="eastAsia" w:ascii="仿宋" w:hAnsi="仿宋" w:eastAsia="仿宋" w:cs="仿宋"/>
          <w:color w:val="auto"/>
          <w:sz w:val="28"/>
          <w:szCs w:val="28"/>
          <w:highlight w:val="none"/>
          <w:lang w:val="en-US" w:eastAsia="zh-CN"/>
        </w:rPr>
        <w:t>报告</w:t>
      </w:r>
      <w:r>
        <w:rPr>
          <w:rFonts w:hint="eastAsia" w:ascii="仿宋" w:hAnsi="仿宋" w:eastAsia="仿宋" w:cs="仿宋"/>
          <w:color w:val="auto"/>
          <w:sz w:val="28"/>
          <w:szCs w:val="28"/>
          <w:highlight w:val="none"/>
        </w:rPr>
        <w:t>在评审过程中受到非法干预的情况；</w:t>
      </w:r>
    </w:p>
    <w:p w14:paraId="67AEAFC4">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6.7</w:t>
      </w:r>
      <w:r>
        <w:rPr>
          <w:rFonts w:hint="eastAsia" w:ascii="仿宋" w:hAnsi="仿宋" w:eastAsia="仿宋" w:cs="仿宋"/>
          <w:color w:val="auto"/>
          <w:sz w:val="28"/>
          <w:szCs w:val="28"/>
          <w:highlight w:val="none"/>
        </w:rPr>
        <w:t>配合答复处理供应商的询问、质疑和投诉等事项；</w:t>
      </w:r>
    </w:p>
    <w:p w14:paraId="6276801E">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6.8</w:t>
      </w:r>
      <w:r>
        <w:rPr>
          <w:rFonts w:hint="eastAsia" w:ascii="仿宋" w:hAnsi="仿宋" w:eastAsia="仿宋" w:cs="仿宋"/>
          <w:color w:val="auto"/>
          <w:sz w:val="28"/>
          <w:szCs w:val="28"/>
          <w:highlight w:val="none"/>
        </w:rPr>
        <w:t>法律、法规和规章规定的其他义务。</w:t>
      </w:r>
    </w:p>
    <w:p w14:paraId="14FB4CCF">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firstLine="570" w:firstLineChars="200"/>
        <w:textAlignment w:val="auto"/>
        <w:rPr>
          <w:rFonts w:hint="eastAsia" w:ascii="仿宋" w:hAnsi="仿宋" w:eastAsia="仿宋" w:cs="仿宋"/>
          <w:b/>
          <w:color w:val="auto"/>
          <w:sz w:val="28"/>
          <w:szCs w:val="28"/>
          <w:highlight w:val="none"/>
        </w:rPr>
      </w:pPr>
    </w:p>
    <w:bookmarkEnd w:id="167"/>
    <w:bookmarkEnd w:id="168"/>
    <w:bookmarkEnd w:id="169"/>
    <w:p w14:paraId="6877527A">
      <w:pPr>
        <w:pStyle w:val="2"/>
        <w:numPr>
          <w:ilvl w:val="-1"/>
          <w:numId w:val="0"/>
        </w:numPr>
        <w:tabs>
          <w:tab w:val="left" w:pos="0"/>
        </w:tabs>
        <w:spacing w:before="260" w:after="260" w:line="240" w:lineRule="auto"/>
        <w:ind w:firstLine="0" w:firstLineChars="0"/>
        <w:jc w:val="center"/>
        <w:rPr>
          <w:rFonts w:hint="default" w:hAnsi="宋体" w:eastAsia="仿宋" w:cs="宋体"/>
          <w:b/>
          <w:bCs w:val="0"/>
          <w:color w:val="auto"/>
          <w:sz w:val="36"/>
          <w:szCs w:val="36"/>
          <w:highlight w:val="none"/>
          <w:lang w:val="en-US" w:eastAsia="zh-CN"/>
        </w:rPr>
      </w:pPr>
      <w:bookmarkStart w:id="209" w:name="_Toc4779"/>
      <w:bookmarkStart w:id="210" w:name="_Toc30200"/>
      <w:r>
        <w:rPr>
          <w:rFonts w:hint="eastAsia" w:ascii="仿宋" w:hAnsi="仿宋" w:eastAsia="仿宋" w:cs="仿宋"/>
          <w:color w:val="auto"/>
          <w:sz w:val="30"/>
          <w:szCs w:val="30"/>
          <w:highlight w:val="none"/>
        </w:rPr>
        <w:br w:type="page"/>
      </w:r>
      <w:bookmarkStart w:id="211" w:name="_Toc14061"/>
      <w:bookmarkStart w:id="212" w:name="_Toc28863"/>
      <w:bookmarkStart w:id="213" w:name="_Toc14764"/>
      <w:bookmarkStart w:id="214" w:name="_Toc19616"/>
      <w:bookmarkStart w:id="215" w:name="_Toc12387"/>
      <w:bookmarkStart w:id="216" w:name="_Toc5099"/>
      <w:r>
        <w:rPr>
          <w:rFonts w:hint="eastAsia" w:ascii="仿宋" w:hAnsi="仿宋" w:eastAsia="仿宋" w:cs="仿宋"/>
          <w:color w:val="auto"/>
          <w:sz w:val="32"/>
          <w:szCs w:val="32"/>
          <w:highlight w:val="none"/>
          <w:lang w:val="en-US" w:eastAsia="zh-CN"/>
        </w:rPr>
        <w:t xml:space="preserve">第十章 </w:t>
      </w:r>
      <w:bookmarkEnd w:id="209"/>
      <w:bookmarkEnd w:id="210"/>
      <w:bookmarkEnd w:id="211"/>
      <w:bookmarkEnd w:id="212"/>
      <w:bookmarkEnd w:id="213"/>
      <w:bookmarkEnd w:id="214"/>
      <w:bookmarkEnd w:id="215"/>
      <w:bookmarkStart w:id="217" w:name="_Toc1538"/>
      <w:bookmarkEnd w:id="217"/>
      <w:bookmarkStart w:id="218" w:name="_Toc6003"/>
      <w:bookmarkEnd w:id="218"/>
      <w:r>
        <w:rPr>
          <w:rFonts w:hint="eastAsia" w:ascii="仿宋" w:hAnsi="仿宋" w:eastAsia="仿宋" w:cs="仿宋"/>
          <w:color w:val="auto"/>
          <w:sz w:val="32"/>
          <w:szCs w:val="32"/>
          <w:highlight w:val="none"/>
          <w:lang w:val="en-US" w:eastAsia="zh-CN"/>
        </w:rPr>
        <w:t>采购合同（样稿）</w:t>
      </w:r>
      <w:bookmarkEnd w:id="216"/>
    </w:p>
    <w:p w14:paraId="7561EA87">
      <w:pPr>
        <w:spacing w:line="400" w:lineRule="exact"/>
        <w:ind w:firstLine="570" w:firstLineChars="200"/>
        <w:rPr>
          <w:rFonts w:hint="eastAsia" w:ascii="仿宋" w:hAnsi="仿宋" w:eastAsia="仿宋" w:cs="仿宋"/>
          <w:bCs/>
          <w:color w:val="auto"/>
          <w:sz w:val="28"/>
          <w:szCs w:val="28"/>
          <w:highlight w:val="none"/>
        </w:rPr>
      </w:pPr>
    </w:p>
    <w:p w14:paraId="2F8D0F52">
      <w:pPr>
        <w:spacing w:line="440" w:lineRule="exact"/>
        <w:ind w:left="1567" w:hanging="2275" w:hangingChars="746"/>
        <w:jc w:val="center"/>
        <w:outlineLvl w:val="1"/>
        <w:rPr>
          <w:rFonts w:hint="eastAsia" w:ascii="仿宋" w:hAnsi="仿宋" w:eastAsia="仿宋" w:cs="仿宋"/>
          <w:b/>
          <w:bCs w:val="0"/>
          <w:color w:val="auto"/>
          <w:sz w:val="30"/>
          <w:szCs w:val="30"/>
          <w:highlight w:val="none"/>
          <w:lang w:val="en-US" w:eastAsia="zh-CN"/>
        </w:rPr>
      </w:pPr>
      <w:r>
        <w:rPr>
          <w:rFonts w:hint="eastAsia" w:ascii="仿宋" w:hAnsi="仿宋" w:eastAsia="仿宋" w:cs="仿宋"/>
          <w:b/>
          <w:bCs w:val="0"/>
          <w:color w:val="auto"/>
          <w:sz w:val="30"/>
          <w:szCs w:val="30"/>
          <w:highlight w:val="none"/>
          <w:lang w:val="en-US" w:eastAsia="zh-CN"/>
        </w:rPr>
        <w:t>{服务类}</w:t>
      </w:r>
    </w:p>
    <w:p w14:paraId="1C015AD2">
      <w:pPr>
        <w:pStyle w:val="45"/>
        <w:shd w:val="clear"/>
        <w:spacing w:line="480" w:lineRule="exact"/>
        <w:ind w:firstLine="607"/>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 xml:space="preserve">合同编号：XXX                                         </w:t>
      </w:r>
    </w:p>
    <w:p w14:paraId="66EDEF9C">
      <w:pPr>
        <w:pStyle w:val="45"/>
        <w:shd w:val="clear"/>
        <w:spacing w:line="480" w:lineRule="exact"/>
        <w:ind w:firstLine="607"/>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 xml:space="preserve">签订地点：XXX                                         </w:t>
      </w:r>
    </w:p>
    <w:p w14:paraId="4CFE1BBB">
      <w:pPr>
        <w:pStyle w:val="45"/>
        <w:shd w:val="clear"/>
        <w:spacing w:line="480" w:lineRule="exact"/>
        <w:ind w:firstLine="607"/>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 xml:space="preserve">签订时间：XXX年XXX月XXX日                                         </w:t>
      </w:r>
    </w:p>
    <w:p w14:paraId="5E09D0A2">
      <w:pPr>
        <w:pStyle w:val="45"/>
        <w:shd w:val="clear"/>
        <w:spacing w:line="480" w:lineRule="exact"/>
        <w:ind w:firstLine="607"/>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 xml:space="preserve">采购人（甲方）：XXX                                          </w:t>
      </w:r>
    </w:p>
    <w:p w14:paraId="66FE8E17">
      <w:pPr>
        <w:pStyle w:val="45"/>
        <w:shd w:val="clear"/>
        <w:spacing w:line="480" w:lineRule="exact"/>
        <w:ind w:firstLine="607"/>
        <w:rPr>
          <w:rFonts w:hint="default" w:ascii="Times New Roman" w:hAnsi="Times New Roman" w:eastAsia="仿宋" w:cs="Times New Roman"/>
          <w:color w:val="auto"/>
          <w:sz w:val="28"/>
          <w:szCs w:val="28"/>
          <w:highlight w:val="none"/>
        </w:rPr>
      </w:pPr>
      <w:r>
        <w:rPr>
          <w:rFonts w:hint="eastAsia" w:ascii="Times New Roman" w:hAnsi="Times New Roman" w:eastAsia="仿宋" w:cs="Times New Roman"/>
          <w:color w:val="auto"/>
          <w:sz w:val="28"/>
          <w:szCs w:val="28"/>
          <w:highlight w:val="none"/>
          <w:lang w:val="en-US" w:eastAsia="zh-CN"/>
        </w:rPr>
        <w:t>供应商</w:t>
      </w:r>
      <w:r>
        <w:rPr>
          <w:rFonts w:hint="default" w:ascii="Times New Roman" w:hAnsi="Times New Roman" w:eastAsia="仿宋" w:cs="Times New Roman"/>
          <w:color w:val="auto"/>
          <w:sz w:val="28"/>
          <w:szCs w:val="28"/>
          <w:highlight w:val="none"/>
        </w:rPr>
        <w:t xml:space="preserve">（乙方）：XXX                                          </w:t>
      </w:r>
    </w:p>
    <w:p w14:paraId="5C9BB772">
      <w:pPr>
        <w:shd w:val="clear"/>
        <w:spacing w:line="480" w:lineRule="exact"/>
        <w:rPr>
          <w:rFonts w:hint="default" w:ascii="Times New Roman" w:hAnsi="Times New Roman" w:eastAsia="仿宋" w:cs="Times New Roman"/>
          <w:color w:val="auto"/>
          <w:sz w:val="28"/>
          <w:szCs w:val="28"/>
          <w:highlight w:val="none"/>
        </w:rPr>
      </w:pPr>
    </w:p>
    <w:p w14:paraId="564D7F1A">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根据《中华人民共和国民法典》及</w:t>
      </w:r>
      <w:r>
        <w:rPr>
          <w:rFonts w:hint="eastAsia" w:ascii="Times New Roman" w:hAnsi="Times New Roman" w:eastAsia="仿宋" w:cs="Times New Roman"/>
          <w:color w:val="auto"/>
          <w:sz w:val="28"/>
          <w:szCs w:val="28"/>
          <w:highlight w:val="none"/>
          <w:u w:val="single"/>
          <w:lang w:val="en-US" w:eastAsia="zh-CN"/>
        </w:rPr>
        <w:t xml:space="preserve">           </w:t>
      </w:r>
      <w:r>
        <w:rPr>
          <w:rFonts w:hint="default" w:ascii="Times New Roman" w:hAnsi="Times New Roman" w:eastAsia="仿宋" w:cs="Times New Roman"/>
          <w:color w:val="auto"/>
          <w:sz w:val="28"/>
          <w:szCs w:val="28"/>
          <w:highlight w:val="none"/>
        </w:rPr>
        <w:t>采购项目（采购编号：</w:t>
      </w:r>
      <w:r>
        <w:rPr>
          <w:rFonts w:hint="default" w:ascii="Times New Roman" w:hAnsi="Times New Roman" w:eastAsia="仿宋" w:cs="Times New Roman"/>
          <w:color w:val="auto"/>
          <w:sz w:val="28"/>
          <w:szCs w:val="28"/>
          <w:highlight w:val="none"/>
          <w:u w:val="single"/>
        </w:rPr>
        <w:t>XX</w:t>
      </w:r>
      <w:r>
        <w:rPr>
          <w:rFonts w:hint="default" w:ascii="Times New Roman" w:hAnsi="Times New Roman" w:eastAsia="仿宋" w:cs="Times New Roman"/>
          <w:color w:val="auto"/>
          <w:sz w:val="28"/>
          <w:szCs w:val="28"/>
          <w:highlight w:val="none"/>
        </w:rPr>
        <w:t>）的《</w:t>
      </w:r>
      <w:r>
        <w:rPr>
          <w:rFonts w:hint="eastAsia" w:ascii="Times New Roman" w:hAnsi="Times New Roman" w:eastAsia="仿宋" w:cs="Times New Roman"/>
          <w:color w:val="auto"/>
          <w:sz w:val="28"/>
          <w:szCs w:val="28"/>
          <w:highlight w:val="none"/>
          <w:lang w:val="en-US" w:eastAsia="zh-CN"/>
        </w:rPr>
        <w:t>磋商</w:t>
      </w:r>
      <w:r>
        <w:rPr>
          <w:rFonts w:hint="default" w:ascii="Times New Roman" w:hAnsi="Times New Roman" w:eastAsia="仿宋" w:cs="Times New Roman"/>
          <w:color w:val="auto"/>
          <w:sz w:val="28"/>
          <w:szCs w:val="28"/>
          <w:highlight w:val="none"/>
        </w:rPr>
        <w:t>文件》、乙方的《</w:t>
      </w:r>
      <w:r>
        <w:rPr>
          <w:rFonts w:hint="eastAsia" w:ascii="Times New Roman" w:hAnsi="Times New Roman" w:eastAsia="仿宋" w:cs="Times New Roman"/>
          <w:color w:val="auto"/>
          <w:sz w:val="28"/>
          <w:szCs w:val="28"/>
          <w:highlight w:val="none"/>
          <w:lang w:val="en-US" w:eastAsia="zh-CN"/>
        </w:rPr>
        <w:t>响应</w:t>
      </w:r>
      <w:r>
        <w:rPr>
          <w:rFonts w:hint="default" w:ascii="Times New Roman" w:hAnsi="Times New Roman" w:eastAsia="仿宋" w:cs="Times New Roman"/>
          <w:color w:val="auto"/>
          <w:sz w:val="28"/>
          <w:szCs w:val="28"/>
          <w:highlight w:val="none"/>
        </w:rPr>
        <w:t>文件》及《</w:t>
      </w:r>
      <w:r>
        <w:rPr>
          <w:rFonts w:hint="eastAsia" w:ascii="Times New Roman" w:hAnsi="Times New Roman" w:eastAsia="仿宋" w:cs="Times New Roman"/>
          <w:color w:val="auto"/>
          <w:sz w:val="28"/>
          <w:szCs w:val="28"/>
          <w:highlight w:val="none"/>
          <w:lang w:val="en-US" w:eastAsia="zh-CN"/>
        </w:rPr>
        <w:t>成交</w:t>
      </w:r>
      <w:r>
        <w:rPr>
          <w:rFonts w:hint="default" w:ascii="Times New Roman" w:hAnsi="Times New Roman" w:eastAsia="仿宋" w:cs="Times New Roman"/>
          <w:color w:val="auto"/>
          <w:sz w:val="28"/>
          <w:szCs w:val="28"/>
          <w:highlight w:val="none"/>
        </w:rPr>
        <w:t>通知书》，甲、乙双方同意签订本合同。详细技术说明及其他有关合同项目的特定信息由合同附件予以说明，合同附件及本项目的</w:t>
      </w:r>
      <w:r>
        <w:rPr>
          <w:rFonts w:hint="eastAsia" w:ascii="Times New Roman" w:hAnsi="Times New Roman" w:eastAsia="仿宋" w:cs="Times New Roman"/>
          <w:color w:val="auto"/>
          <w:sz w:val="28"/>
          <w:szCs w:val="28"/>
          <w:highlight w:val="none"/>
          <w:lang w:val="en-US" w:eastAsia="zh-CN"/>
        </w:rPr>
        <w:t>磋商</w:t>
      </w:r>
      <w:r>
        <w:rPr>
          <w:rFonts w:hint="default" w:ascii="Times New Roman" w:hAnsi="Times New Roman" w:eastAsia="仿宋" w:cs="Times New Roman"/>
          <w:color w:val="auto"/>
          <w:sz w:val="28"/>
          <w:szCs w:val="28"/>
          <w:highlight w:val="none"/>
        </w:rPr>
        <w:t>文件、</w:t>
      </w:r>
      <w:r>
        <w:rPr>
          <w:rFonts w:hint="eastAsia" w:ascii="Times New Roman" w:hAnsi="Times New Roman" w:eastAsia="仿宋" w:cs="Times New Roman"/>
          <w:color w:val="auto"/>
          <w:sz w:val="28"/>
          <w:szCs w:val="28"/>
          <w:highlight w:val="none"/>
          <w:lang w:val="en-US" w:eastAsia="zh-CN"/>
        </w:rPr>
        <w:t>响应</w:t>
      </w:r>
      <w:r>
        <w:rPr>
          <w:rFonts w:hint="default" w:ascii="Times New Roman" w:hAnsi="Times New Roman" w:eastAsia="仿宋" w:cs="Times New Roman"/>
          <w:color w:val="auto"/>
          <w:sz w:val="28"/>
          <w:szCs w:val="28"/>
          <w:highlight w:val="none"/>
        </w:rPr>
        <w:t>文件、《</w:t>
      </w:r>
      <w:r>
        <w:rPr>
          <w:rFonts w:hint="eastAsia" w:ascii="Times New Roman" w:hAnsi="Times New Roman" w:eastAsia="仿宋" w:cs="Times New Roman"/>
          <w:color w:val="auto"/>
          <w:sz w:val="28"/>
          <w:szCs w:val="28"/>
          <w:highlight w:val="none"/>
          <w:lang w:val="en-US" w:eastAsia="zh-CN"/>
        </w:rPr>
        <w:t>成交</w:t>
      </w:r>
      <w:r>
        <w:rPr>
          <w:rFonts w:hint="default" w:ascii="Times New Roman" w:hAnsi="Times New Roman" w:eastAsia="仿宋" w:cs="Times New Roman"/>
          <w:color w:val="auto"/>
          <w:sz w:val="28"/>
          <w:szCs w:val="28"/>
          <w:highlight w:val="none"/>
        </w:rPr>
        <w:t>通知书》等均为本合同不可分割的部分。双方同意共同遵守如下条款：</w:t>
      </w:r>
    </w:p>
    <w:p w14:paraId="2A087FB4">
      <w:pPr>
        <w:pStyle w:val="91"/>
        <w:keepNext w:val="0"/>
        <w:keepLines w:val="0"/>
        <w:pageBreakBefore w:val="0"/>
        <w:widowControl w:val="0"/>
        <w:numPr>
          <w:ilvl w:val="0"/>
          <w:numId w:val="0"/>
        </w:numPr>
        <w:kinsoku/>
        <w:wordWrap/>
        <w:overflowPunct/>
        <w:topLinePunct w:val="0"/>
        <w:autoSpaceDE/>
        <w:autoSpaceDN/>
        <w:bidi w:val="0"/>
        <w:spacing w:line="360" w:lineRule="auto"/>
        <w:ind w:firstLine="570" w:firstLineChars="200"/>
        <w:rPr>
          <w:rFonts w:hint="eastAsia" w:ascii="仿宋" w:hAnsi="仿宋" w:eastAsia="仿宋" w:cs="仿宋"/>
          <w:b/>
          <w:bCs/>
          <w:color w:val="auto"/>
          <w:kern w:val="0"/>
          <w:sz w:val="28"/>
          <w:szCs w:val="28"/>
          <w:highlight w:val="none"/>
          <w:lang w:val="en-US" w:eastAsia="zh-CN" w:bidi="ar-SA"/>
        </w:rPr>
      </w:pPr>
      <w:bookmarkStart w:id="219" w:name="_Toc19410"/>
      <w:bookmarkStart w:id="220" w:name="_Toc24434"/>
      <w:r>
        <w:rPr>
          <w:rFonts w:hint="eastAsia" w:ascii="仿宋" w:hAnsi="仿宋" w:eastAsia="仿宋" w:cs="仿宋"/>
          <w:b/>
          <w:bCs/>
          <w:color w:val="auto"/>
          <w:kern w:val="0"/>
          <w:sz w:val="28"/>
          <w:szCs w:val="28"/>
          <w:highlight w:val="none"/>
          <w:lang w:val="en-US" w:eastAsia="zh-CN" w:bidi="ar-SA"/>
        </w:rPr>
        <w:t>一、服务内容</w:t>
      </w:r>
      <w:bookmarkEnd w:id="219"/>
      <w:bookmarkEnd w:id="220"/>
    </w:p>
    <w:p w14:paraId="58490201">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本项目为乐山苏稽新区工农路智慧停车场项目与乐山奥体中心部分功能提升项目开展结算评审服务。</w:t>
      </w:r>
    </w:p>
    <w:p w14:paraId="1114C19E">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具体内容包括：</w:t>
      </w:r>
    </w:p>
    <w:p w14:paraId="476054A8">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1、检查资料的完整性、合规性。</w:t>
      </w:r>
    </w:p>
    <w:p w14:paraId="1D75EC1F">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2、负责组织或参加采购人组织的现场踏勘。</w:t>
      </w:r>
    </w:p>
    <w:p w14:paraId="1E6E90AC">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3、审核本项目结算评审相关的工作内容，包括该项目施工、监理、设计费、勘察费、第三方检测、水电气接入等结算评审。</w:t>
      </w:r>
    </w:p>
    <w:p w14:paraId="2E44E65B">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4、全面审查的项目建设的真实性、合法性、合规性。</w:t>
      </w:r>
    </w:p>
    <w:p w14:paraId="6D11F7FF">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5、审核各参建主体是否存在弄虚作假、损失浪费等行为。</w:t>
      </w:r>
    </w:p>
    <w:p w14:paraId="543FC9C1">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6、全面审核项目建设情况与招标文件、采购合同要求是否一致。</w:t>
      </w:r>
    </w:p>
    <w:p w14:paraId="369C969B">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7、对变更或新增内容进行全面评审。</w:t>
      </w:r>
    </w:p>
    <w:p w14:paraId="46A836C4">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8、分析项目价款审增审减原因和执行基本建设制度存在的问题。</w:t>
      </w:r>
    </w:p>
    <w:p w14:paraId="6DC5EF48">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9、各方签认评审结论，出具结算评审评审并送达采购人。</w:t>
      </w:r>
    </w:p>
    <w:p w14:paraId="2A0B2467">
      <w:pPr>
        <w:pStyle w:val="3"/>
        <w:pageBreakBefore w:val="0"/>
        <w:numPr>
          <w:ilvl w:val="0"/>
          <w:numId w:val="0"/>
        </w:numPr>
        <w:kinsoku/>
        <w:wordWrap/>
        <w:overflowPunct/>
        <w:topLinePunct w:val="0"/>
        <w:autoSpaceDE/>
        <w:autoSpaceDN/>
        <w:bidi w:val="0"/>
        <w:adjustRightInd w:val="0"/>
        <w:snapToGrid w:val="0"/>
        <w:spacing w:before="0" w:after="0" w:line="360" w:lineRule="auto"/>
        <w:ind w:firstLine="570" w:firstLineChars="200"/>
        <w:textAlignment w:val="auto"/>
        <w:outlineLvl w:val="2"/>
        <w:rPr>
          <w:rFonts w:hint="default"/>
          <w:color w:val="auto"/>
          <w:highlight w:val="none"/>
          <w:lang w:val="en-US" w:eastAsia="zh-CN"/>
        </w:rPr>
      </w:pPr>
      <w:r>
        <w:rPr>
          <w:rFonts w:hint="eastAsia" w:ascii="仿宋" w:hAnsi="仿宋" w:eastAsia="仿宋" w:cs="仿宋"/>
          <w:b w:val="0"/>
          <w:bCs w:val="0"/>
          <w:color w:val="auto"/>
          <w:kern w:val="0"/>
          <w:sz w:val="28"/>
          <w:szCs w:val="28"/>
          <w:highlight w:val="none"/>
          <w:lang w:val="en-US" w:eastAsia="zh-CN" w:bidi="ar-SA"/>
        </w:rPr>
        <w:t>10、服务成果文件：《竣工结算评审报告》。</w:t>
      </w:r>
    </w:p>
    <w:p w14:paraId="7B8E5C41">
      <w:pPr>
        <w:pStyle w:val="91"/>
        <w:keepNext w:val="0"/>
        <w:keepLines w:val="0"/>
        <w:pageBreakBefore w:val="0"/>
        <w:widowControl w:val="0"/>
        <w:numPr>
          <w:ilvl w:val="0"/>
          <w:numId w:val="0"/>
        </w:numPr>
        <w:kinsoku/>
        <w:wordWrap/>
        <w:overflowPunct/>
        <w:topLinePunct w:val="0"/>
        <w:autoSpaceDE/>
        <w:autoSpaceDN/>
        <w:bidi w:val="0"/>
        <w:spacing w:line="360" w:lineRule="auto"/>
        <w:ind w:firstLine="570" w:firstLineChars="200"/>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二、服务要求</w:t>
      </w:r>
    </w:p>
    <w:p w14:paraId="3B3B3ADF">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向采购人提交符合要求的评审报告和相应的取证记录、评审结算书的纸质文档、电子文档、计算式等证明材料和成果文件。对评审结果负责，因评审质量、违规操作等原因致使采购人遭受损失，应承担一切经济和法律责任。</w:t>
      </w:r>
    </w:p>
    <w:p w14:paraId="5F331FB6">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2、现场勘查，检查实际施工是否与图纸、招标文件及答疑、图集、施工规范的要求相符，对不符部分，按合同约定的方式调整。</w:t>
      </w:r>
    </w:p>
    <w:p w14:paraId="6B9AC9AB">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3、评审工程量、清单项目，对超报、虚报部分进行审减。</w:t>
      </w:r>
    </w:p>
    <w:p w14:paraId="304A9F43">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4、评审签证内容是否属实，签证价格是否合理，签证程序是否合规，签证支撑材料是否充分，签证手续是否完善、是否按照合同约定办理。</w:t>
      </w:r>
    </w:p>
    <w:p w14:paraId="66E5F4D9">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5、变更手续是否完善、是否按照合同约定办理，变更价格是否合理。</w:t>
      </w:r>
    </w:p>
    <w:p w14:paraId="17364E8A">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6、完成采购人提供的工程造价结算分析表的填制。</w:t>
      </w:r>
    </w:p>
    <w:p w14:paraId="1C1F83B0">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7、及时完成结算评审报告并送达采购人。</w:t>
      </w:r>
    </w:p>
    <w:p w14:paraId="23212801">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8、配合评审机构复核。</w:t>
      </w:r>
    </w:p>
    <w:p w14:paraId="364B3FC6">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9、接受并服从采购人制定或修订的相关管理办法及考核办法，关于评审误差：</w:t>
      </w:r>
    </w:p>
    <w:p w14:paraId="323851FB">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9.1在日后巡察、复审、监督、检查等过程中，发现乙方履行义务过程中由于疏忽、失职、过错等故意或过失原因造成评审复核或复审结果差异率（即（初审审定额-复核审定额）/初审审定额*100%,下同）在3%以内的不扣除审核费用；3%&lt;误差&lt;10%,超过3%部分，每超过1%扣除5%的审核费用（不足1%按1%计）;误差&gt;10%的扣除单项全部评审服务费用。</w:t>
      </w:r>
    </w:p>
    <w:p w14:paraId="53AD001D">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9.2若报告存在多计、漏计工程量，资料缺失仍然计算工程量等情况，造成多计、多付工程款无法直接收回的，乙方应赔偿因此造成的相关损失，该损失额度不以评审服务费为限。</w:t>
      </w:r>
    </w:p>
    <w:p w14:paraId="61700E73">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9.3若乙方同与本项目有利益关联的第三方串通造成经济损失的，需承担相应责任及赔偿。</w:t>
      </w:r>
    </w:p>
    <w:p w14:paraId="07B37FA0">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10、服务成果文件：提供本项目《竣工结算评审报告》，一式肆份，电子档一份。</w:t>
      </w:r>
    </w:p>
    <w:p w14:paraId="794C7F6F">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11、甲方或相关单位要求的其他文件资料。</w:t>
      </w:r>
    </w:p>
    <w:p w14:paraId="2C84C54B">
      <w:pPr>
        <w:pStyle w:val="91"/>
        <w:keepNext w:val="0"/>
        <w:keepLines w:val="0"/>
        <w:pageBreakBefore w:val="0"/>
        <w:widowControl w:val="0"/>
        <w:numPr>
          <w:ilvl w:val="0"/>
          <w:numId w:val="0"/>
        </w:numPr>
        <w:kinsoku/>
        <w:wordWrap/>
        <w:overflowPunct/>
        <w:topLinePunct w:val="0"/>
        <w:autoSpaceDE/>
        <w:autoSpaceDN/>
        <w:bidi w:val="0"/>
        <w:spacing w:line="360" w:lineRule="auto"/>
        <w:ind w:firstLine="570" w:firstLineChars="200"/>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三、技术要求</w:t>
      </w:r>
    </w:p>
    <w:p w14:paraId="6C6B9CA5">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1、在约定时间内完成评审任务，出具评审报告，不得将受托评审项目分包、转让、转包。</w:t>
      </w:r>
    </w:p>
    <w:p w14:paraId="66A3D2D2">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2、在接收到甲方移交的资料后，必须在规定时间内完成对资料完整性的确认，同时，要列明应补充完善的资料。</w:t>
      </w:r>
    </w:p>
    <w:p w14:paraId="0FAC325D">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3、严格执行回避制度，不得同时接受具有利益冲突的双方或多方委托服务；不得对外提供工程造价咨询服务过程中获知的甲方的商业秘密和业务资料。一经发现，终止服务合同。</w:t>
      </w:r>
    </w:p>
    <w:p w14:paraId="578D9C68">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4、乙方根据《中华人民共和国审计法》、《中华人民共和国审计法实施条例》、《中华人民共和国国家审计准则》等相关法律法规的要求，独立、客观、公正的开展评审工作。</w:t>
      </w:r>
    </w:p>
    <w:p w14:paraId="00B86D2F">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5、乙方需按照以下要求完成评审任务：</w:t>
      </w:r>
    </w:p>
    <w:p w14:paraId="21F65569">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5.1做到查证事实准确，服务内容合法、客观、公正、完整、准确，不发生重大遗漏事项，无重计错计。</w:t>
      </w:r>
    </w:p>
    <w:p w14:paraId="1A8AE1BC">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5.2在评审工作期间，不得私下单独与监理单位、施工单位交流。</w:t>
      </w:r>
    </w:p>
    <w:p w14:paraId="373EBCC7">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6、出具有法律效应的《竣工结算评审报告》。在项目审核工作完成后一并退还送审原始资料和相关的证据资料、审核过程完整的电子、纸质工作底稿。</w:t>
      </w:r>
    </w:p>
    <w:p w14:paraId="311E1EC9">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7、乙方应严守职业道德。对项目评审中发现的问题和发生争议等重大事项应及时向甲方反映，并接受甲方的管理和监督。对执业过程中知悉的行业秘密严加保密，不得向外界泄露。</w:t>
      </w:r>
    </w:p>
    <w:p w14:paraId="183D89E0">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8、乙方除满足国家相关法规制度要求外，还包括实施项目整体分析、审核重点筛查、造价审减原因分析、落实问题责任等内容及拟制相应文书等工作；在服务期内，接受甲方组织的抽查复审。</w:t>
      </w:r>
    </w:p>
    <w:p w14:paraId="12F6595B">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9、乙方严格执行国家审计法律、法规、规章，遵守行业执业准则、职业道德。</w:t>
      </w:r>
    </w:p>
    <w:p w14:paraId="7E984700">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10、乙方按照国家法律法规、工程定额、工程量清单计价规范、行业规范、招投标文件、合同协议、现场签证、结算书等依法开展工作，不受任何第三方影响，独立承担协议规定委托事项任务。</w:t>
      </w:r>
    </w:p>
    <w:p w14:paraId="3615DA3C">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11、乙方提供的全部服务除上述内容外，还须满足国家、行业有关标准及规范。</w:t>
      </w:r>
    </w:p>
    <w:p w14:paraId="6BE4DBE5">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注：以上标准、规定、规范性文件如有更新时，按最新标准执行。</w:t>
      </w:r>
    </w:p>
    <w:p w14:paraId="06E839B8">
      <w:pPr>
        <w:keepNext w:val="0"/>
        <w:keepLines w:val="0"/>
        <w:pageBreakBefore w:val="0"/>
        <w:widowControl w:val="0"/>
        <w:kinsoku/>
        <w:wordWrap/>
        <w:overflowPunct/>
        <w:topLinePunct w:val="0"/>
        <w:autoSpaceDE/>
        <w:autoSpaceDN/>
        <w:bidi w:val="0"/>
        <w:adjustRightInd w:val="0"/>
        <w:snapToGrid w:val="0"/>
        <w:spacing w:line="360" w:lineRule="auto"/>
        <w:ind w:firstLine="570" w:firstLineChars="200"/>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四、商务要求</w:t>
      </w:r>
    </w:p>
    <w:p w14:paraId="30534514">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1、服务期限：自合同签订之日起60日内完成本项目所有服务内容。</w:t>
      </w:r>
    </w:p>
    <w:p w14:paraId="2C3195C7">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2、结算与付款：</w:t>
      </w:r>
    </w:p>
    <w:p w14:paraId="16A398B0">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2.1合同签订后，供应商完成本项目所有竣工结算审核工作并移交全部资料，双方办理合同价款结算。合同价款结算办理完成后，采购人在收到供应商提交合格的支付申请资料20个工作日内支付至本合同结算价款的80%；</w:t>
      </w:r>
    </w:p>
    <w:p w14:paraId="440D234A">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 xml:space="preserve">余款待办理完采购人本公司的相关评审或该工程竣工结算审核工作完成2年后28个工作日内支付。 </w:t>
      </w:r>
    </w:p>
    <w:p w14:paraId="3AD0D8EF">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2.2甲方付款前，乙方须提交等额合规税务增值税专用发票，否则付款时间顺延。</w:t>
      </w:r>
    </w:p>
    <w:p w14:paraId="5ACE1512">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bidi="ar-SA"/>
        </w:rPr>
        <w:t>3、合同价为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元</w:t>
      </w:r>
      <w:r>
        <w:rPr>
          <w:rFonts w:hint="eastAsia" w:ascii="仿宋" w:hAnsi="仿宋" w:eastAsia="仿宋" w:cs="仿宋"/>
          <w:b w:val="0"/>
          <w:bCs w:val="0"/>
          <w:color w:val="auto"/>
          <w:kern w:val="0"/>
          <w:sz w:val="28"/>
          <w:szCs w:val="28"/>
          <w:highlight w:val="none"/>
          <w:u w:val="none"/>
          <w:lang w:val="en-US" w:eastAsia="zh-CN" w:bidi="ar-SA"/>
        </w:rPr>
        <w:t>（大写：        ），其中：不含税金额为   元，增值税税率</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u w:val="none"/>
          <w:lang w:val="en-US" w:eastAsia="zh-CN" w:bidi="ar-SA"/>
        </w:rPr>
        <w:t>，增值税金额为    元。报价是乙方完成本项目所有服务内容的全部工作、服务内容的综合最终报价,乙方的报价应包括履约过程中的人工费、材料费、资料费、交通费（含相关杂费）、管理费、保险费、利润及税金及与乙方履约本项目所需要的其他所有费用和磋商文件规定的其它费用，甲方不再支付合同价款以外的费用。如出现在投标报价估算错误等引起的损失由乙方自行承担。</w:t>
      </w:r>
    </w:p>
    <w:p w14:paraId="29D43712">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4、</w:t>
      </w:r>
      <w:r>
        <w:rPr>
          <w:rFonts w:hint="eastAsia" w:ascii="仿宋" w:hAnsi="仿宋" w:eastAsia="仿宋" w:cs="仿宋"/>
          <w:b w:val="0"/>
          <w:bCs w:val="0"/>
          <w:color w:val="auto"/>
          <w:kern w:val="0"/>
          <w:sz w:val="28"/>
          <w:szCs w:val="28"/>
          <w:highlight w:val="none"/>
          <w:lang w:val="en-US" w:eastAsia="zh-CN" w:bidi="ar-SA"/>
        </w:rPr>
        <w:t>评审</w:t>
      </w:r>
      <w:r>
        <w:rPr>
          <w:rFonts w:hint="eastAsia" w:ascii="仿宋" w:hAnsi="仿宋" w:eastAsia="仿宋" w:cs="仿宋"/>
          <w:b w:val="0"/>
          <w:bCs w:val="0"/>
          <w:color w:val="auto"/>
          <w:kern w:val="0"/>
          <w:sz w:val="28"/>
          <w:szCs w:val="28"/>
          <w:highlight w:val="none"/>
          <w:u w:val="none"/>
          <w:lang w:val="en-US" w:eastAsia="zh-CN" w:bidi="ar-SA"/>
        </w:rPr>
        <w:t>服务费组成：</w:t>
      </w:r>
    </w:p>
    <w:p w14:paraId="58A4FCA2">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4.1本项目费用由基本审核费和效益审核费组成（基本审核费用为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元，效益审核费用为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元）。</w:t>
      </w:r>
    </w:p>
    <w:p w14:paraId="70CE6CD6">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4.2按要求完成本项目的结算审核，由采购人负担基本审核费用。</w:t>
      </w:r>
    </w:p>
    <w:p w14:paraId="49ABE881">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4.3审减率≤5%（含5%）由采购人负担效益审核费用，效益审核费按最终审减金额（最终审减金额=送审金额－审定金额）的2%计取，最高不超过投标价。</w:t>
      </w:r>
    </w:p>
    <w:p w14:paraId="6840E432">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4.4审减率＞5%时，效益审核费由采购人和施工总承包单位工程共同负担。其中审减率在5%以内的部分由采购人负担效益审核费用，效益审核费按最终审减金额（最终审减金额=送审金额－审定金额）的2%计取，最高不超过投标价；审减率在5%以上的部分由施工总承包单位承担效益审核费，该部分审减金额按4%计取作为效益审核费用，乙方自行向施工方收取，甲方不承担垫付、连带、担保责任；甲方可在应付工程款中协助代扣，但无代扣义务。</w:t>
      </w:r>
    </w:p>
    <w:p w14:paraId="55231E2C">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5、其他相关事宜：在本采购文件中没有提及的与本项目履约切实相关的事宜，在甲方与乙方订立合同时明细约定或后续补充约定（约定的内容须符合国家相关法律法规的规定）。</w:t>
      </w:r>
    </w:p>
    <w:p w14:paraId="7D3861E5">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6、质量要求：符合达到现行国家规范、行业标准,符合相关法律法规要求。</w:t>
      </w:r>
    </w:p>
    <w:p w14:paraId="36969C96">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kern w:val="0"/>
          <w:sz w:val="28"/>
          <w:szCs w:val="28"/>
          <w:highlight w:val="none"/>
          <w:lang w:val="en-US" w:eastAsia="zh-CN" w:bidi="ar-SA"/>
        </w:rPr>
        <w:t>五、履约保证金</w:t>
      </w:r>
    </w:p>
    <w:p w14:paraId="3793D155">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bookmarkStart w:id="221" w:name="_Toc29713"/>
      <w:bookmarkStart w:id="222" w:name="_Toc2010"/>
      <w:r>
        <w:rPr>
          <w:rFonts w:hint="eastAsia" w:ascii="仿宋" w:hAnsi="仿宋" w:eastAsia="仿宋" w:cs="仿宋"/>
          <w:b w:val="0"/>
          <w:bCs w:val="0"/>
          <w:color w:val="auto"/>
          <w:kern w:val="0"/>
          <w:sz w:val="28"/>
          <w:szCs w:val="28"/>
          <w:highlight w:val="none"/>
          <w:u w:val="none"/>
          <w:lang w:val="en-US" w:eastAsia="zh-CN" w:bidi="ar-SA"/>
        </w:rPr>
        <w:t>本项目不收取。</w:t>
      </w:r>
    </w:p>
    <w:p w14:paraId="6628B26D">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六、验收标准和方法</w:t>
      </w:r>
      <w:bookmarkEnd w:id="221"/>
      <w:bookmarkEnd w:id="222"/>
    </w:p>
    <w:p w14:paraId="4944D660">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zh-CN" w:eastAsia="zh-CN" w:bidi="ar-SA"/>
        </w:rPr>
        <w:t>乙方与甲方</w:t>
      </w:r>
      <w:r>
        <w:rPr>
          <w:rFonts w:hint="eastAsia" w:ascii="仿宋" w:hAnsi="仿宋" w:eastAsia="仿宋" w:cs="仿宋"/>
          <w:b w:val="0"/>
          <w:bCs w:val="0"/>
          <w:color w:val="auto"/>
          <w:kern w:val="0"/>
          <w:sz w:val="28"/>
          <w:szCs w:val="28"/>
          <w:highlight w:val="none"/>
          <w:u w:val="none"/>
          <w:lang w:val="en-US" w:eastAsia="zh-CN" w:bidi="ar-SA"/>
        </w:rPr>
        <w:t>按照</w:t>
      </w:r>
      <w:r>
        <w:rPr>
          <w:rFonts w:hint="eastAsia" w:ascii="仿宋" w:hAnsi="仿宋" w:eastAsia="仿宋" w:cs="仿宋"/>
          <w:b w:val="0"/>
          <w:bCs w:val="0"/>
          <w:color w:val="auto"/>
          <w:kern w:val="0"/>
          <w:sz w:val="28"/>
          <w:szCs w:val="28"/>
          <w:highlight w:val="none"/>
          <w:u w:val="none"/>
          <w:lang w:val="zh-CN" w:eastAsia="zh-CN" w:bidi="ar-SA"/>
        </w:rPr>
        <w:t>国家现行有关行业规定、技术规范和要求、磋商文件的质量要求和技术指标、乙方的响应文件及承诺与采购合同约定标准进行验收。</w:t>
      </w:r>
    </w:p>
    <w:p w14:paraId="29EE6033">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七、甲方的权利和义务</w:t>
      </w:r>
    </w:p>
    <w:p w14:paraId="4773EF05">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6FD95D0E">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2、甲方有权依据双方签订的考评办法对乙方提供的服务进行定期考评。当考评结果未达到标准时，有权依据考评办法约定的数额扣除履约保证金。 </w:t>
      </w:r>
    </w:p>
    <w:p w14:paraId="431BE324">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3、负责检查监督乙方管理工作的实施及制度的执行情况。 </w:t>
      </w:r>
    </w:p>
    <w:p w14:paraId="3A596988">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4、根据本合同规定，按时向乙方支付应付服务费用。 </w:t>
      </w:r>
    </w:p>
    <w:p w14:paraId="1CED486D">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5、国家法律、法规所规定由甲方承担的其它责任。</w:t>
      </w:r>
    </w:p>
    <w:p w14:paraId="58F725C4">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八、乙方的权利和义务</w:t>
      </w:r>
    </w:p>
    <w:p w14:paraId="610DDA56">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1、对本合同规定的委托服务范围内的项目享有管理权及服务义务。 </w:t>
      </w:r>
    </w:p>
    <w:p w14:paraId="3A1180F4">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2、根据本合同的规定向采购单位收取相关服务费用，并有权在本项目管理范围内管理及合理使用。 </w:t>
      </w:r>
    </w:p>
    <w:p w14:paraId="39AE9566">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3、及时向甲方采购单位通告本项目服务范围内有关服务的重大事项，及时配合处理投诉。 </w:t>
      </w:r>
    </w:p>
    <w:p w14:paraId="0BBB64D6">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4、接受项目行业管理部门及政府有关部门的指导，接受甲方的监督。 </w:t>
      </w:r>
    </w:p>
    <w:p w14:paraId="7678B2EB">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5、国家法律、法规所规定由乙方承担的其它责任。</w:t>
      </w:r>
    </w:p>
    <w:p w14:paraId="65EF720B">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default"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九、违约责任</w:t>
      </w:r>
    </w:p>
    <w:p w14:paraId="43E8CA92">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Hans" w:bidi="ar-SA"/>
        </w:rPr>
      </w:pPr>
      <w:r>
        <w:rPr>
          <w:rFonts w:hint="eastAsia" w:ascii="仿宋" w:hAnsi="仿宋" w:eastAsia="仿宋" w:cs="仿宋"/>
          <w:b w:val="0"/>
          <w:bCs w:val="0"/>
          <w:color w:val="auto"/>
          <w:kern w:val="0"/>
          <w:sz w:val="28"/>
          <w:szCs w:val="28"/>
          <w:highlight w:val="none"/>
          <w:u w:val="none"/>
          <w:lang w:val="en-US" w:eastAsia="zh-CN" w:bidi="ar-SA"/>
        </w:rPr>
        <w:t>1、甲方</w:t>
      </w:r>
      <w:r>
        <w:rPr>
          <w:rFonts w:hint="eastAsia" w:ascii="仿宋" w:hAnsi="仿宋" w:eastAsia="仿宋" w:cs="仿宋"/>
          <w:b w:val="0"/>
          <w:bCs w:val="0"/>
          <w:color w:val="auto"/>
          <w:kern w:val="0"/>
          <w:sz w:val="28"/>
          <w:szCs w:val="28"/>
          <w:highlight w:val="none"/>
          <w:u w:val="none"/>
          <w:lang w:val="en-US" w:eastAsia="zh-Hans" w:bidi="ar-SA"/>
        </w:rPr>
        <w:t>与</w:t>
      </w:r>
      <w:r>
        <w:rPr>
          <w:rFonts w:hint="eastAsia" w:ascii="仿宋" w:hAnsi="仿宋" w:eastAsia="仿宋" w:cs="仿宋"/>
          <w:b w:val="0"/>
          <w:bCs w:val="0"/>
          <w:color w:val="auto"/>
          <w:kern w:val="0"/>
          <w:sz w:val="28"/>
          <w:szCs w:val="28"/>
          <w:highlight w:val="none"/>
          <w:u w:val="none"/>
          <w:lang w:val="en-US" w:eastAsia="zh-CN" w:bidi="ar-SA"/>
        </w:rPr>
        <w:t>乙方</w:t>
      </w:r>
      <w:r>
        <w:rPr>
          <w:rFonts w:hint="eastAsia" w:ascii="仿宋" w:hAnsi="仿宋" w:eastAsia="仿宋" w:cs="仿宋"/>
          <w:b w:val="0"/>
          <w:bCs w:val="0"/>
          <w:color w:val="auto"/>
          <w:kern w:val="0"/>
          <w:sz w:val="28"/>
          <w:szCs w:val="28"/>
          <w:highlight w:val="none"/>
          <w:u w:val="none"/>
          <w:lang w:val="en-US" w:eastAsia="zh-Hans" w:bidi="ar-SA"/>
        </w:rPr>
        <w:t>双方必须遵守合同并执行合同中的各项规定，保证合同的正常履行</w:t>
      </w:r>
      <w:r>
        <w:rPr>
          <w:rFonts w:hint="eastAsia" w:ascii="仿宋" w:hAnsi="仿宋" w:eastAsia="仿宋" w:cs="仿宋"/>
          <w:b w:val="0"/>
          <w:bCs w:val="0"/>
          <w:color w:val="auto"/>
          <w:kern w:val="0"/>
          <w:sz w:val="28"/>
          <w:szCs w:val="28"/>
          <w:highlight w:val="none"/>
          <w:u w:val="none"/>
          <w:lang w:val="en-US" w:eastAsia="zh-CN" w:bidi="ar-SA"/>
        </w:rPr>
        <w:t>，若因乙方原因造成合同违约，甲方有权解除合同，乙方不得追究甲方任何责任</w:t>
      </w:r>
      <w:r>
        <w:rPr>
          <w:rFonts w:hint="eastAsia" w:ascii="仿宋" w:hAnsi="仿宋" w:eastAsia="仿宋" w:cs="仿宋"/>
          <w:b w:val="0"/>
          <w:bCs w:val="0"/>
          <w:color w:val="auto"/>
          <w:kern w:val="0"/>
          <w:sz w:val="28"/>
          <w:szCs w:val="28"/>
          <w:highlight w:val="none"/>
          <w:u w:val="none"/>
          <w:lang w:val="en-US" w:eastAsia="zh-Hans" w:bidi="ar-SA"/>
        </w:rPr>
        <w:t>。</w:t>
      </w:r>
    </w:p>
    <w:p w14:paraId="1FE5AF2E">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Hans" w:bidi="ar-SA"/>
        </w:rPr>
      </w:pPr>
      <w:r>
        <w:rPr>
          <w:rFonts w:hint="eastAsia" w:ascii="仿宋" w:hAnsi="仿宋" w:eastAsia="仿宋" w:cs="仿宋"/>
          <w:b w:val="0"/>
          <w:bCs w:val="0"/>
          <w:color w:val="auto"/>
          <w:kern w:val="0"/>
          <w:sz w:val="28"/>
          <w:szCs w:val="28"/>
          <w:highlight w:val="none"/>
          <w:u w:val="none"/>
          <w:lang w:val="en-US" w:eastAsia="zh-CN" w:bidi="ar-SA"/>
        </w:rPr>
        <w:t>2、</w:t>
      </w:r>
      <w:r>
        <w:rPr>
          <w:rFonts w:hint="eastAsia" w:ascii="仿宋" w:hAnsi="仿宋" w:eastAsia="仿宋" w:cs="仿宋"/>
          <w:b w:val="0"/>
          <w:bCs w:val="0"/>
          <w:color w:val="auto"/>
          <w:kern w:val="0"/>
          <w:sz w:val="28"/>
          <w:szCs w:val="28"/>
          <w:highlight w:val="none"/>
          <w:u w:val="none"/>
          <w:lang w:val="en-US" w:eastAsia="zh-Hans" w:bidi="ar-SA"/>
        </w:rPr>
        <w:t>如因</w:t>
      </w:r>
      <w:r>
        <w:rPr>
          <w:rFonts w:hint="eastAsia" w:ascii="仿宋" w:hAnsi="仿宋" w:eastAsia="仿宋" w:cs="仿宋"/>
          <w:b w:val="0"/>
          <w:bCs w:val="0"/>
          <w:color w:val="auto"/>
          <w:kern w:val="0"/>
          <w:sz w:val="28"/>
          <w:szCs w:val="28"/>
          <w:highlight w:val="none"/>
          <w:u w:val="none"/>
          <w:lang w:val="en-US" w:eastAsia="zh-CN" w:bidi="ar-SA"/>
        </w:rPr>
        <w:t>乙方</w:t>
      </w:r>
      <w:r>
        <w:rPr>
          <w:rFonts w:hint="eastAsia" w:ascii="仿宋" w:hAnsi="仿宋" w:eastAsia="仿宋" w:cs="仿宋"/>
          <w:b w:val="0"/>
          <w:bCs w:val="0"/>
          <w:color w:val="auto"/>
          <w:kern w:val="0"/>
          <w:sz w:val="28"/>
          <w:szCs w:val="28"/>
          <w:highlight w:val="none"/>
          <w:u w:val="none"/>
          <w:lang w:val="en-US" w:eastAsia="zh-Hans" w:bidi="ar-SA"/>
        </w:rPr>
        <w:t>工作人员在履行职务过程中的的疏忽、失职、过错等故意或者过失原因给</w:t>
      </w:r>
      <w:r>
        <w:rPr>
          <w:rFonts w:hint="eastAsia" w:ascii="仿宋" w:hAnsi="仿宋" w:eastAsia="仿宋" w:cs="仿宋"/>
          <w:b w:val="0"/>
          <w:bCs w:val="0"/>
          <w:color w:val="auto"/>
          <w:kern w:val="0"/>
          <w:sz w:val="28"/>
          <w:szCs w:val="28"/>
          <w:highlight w:val="none"/>
          <w:u w:val="none"/>
          <w:lang w:val="en-US" w:eastAsia="zh-CN" w:bidi="ar-SA"/>
        </w:rPr>
        <w:t>甲方</w:t>
      </w:r>
      <w:r>
        <w:rPr>
          <w:rFonts w:hint="eastAsia" w:ascii="仿宋" w:hAnsi="仿宋" w:eastAsia="仿宋" w:cs="仿宋"/>
          <w:b w:val="0"/>
          <w:bCs w:val="0"/>
          <w:color w:val="auto"/>
          <w:kern w:val="0"/>
          <w:sz w:val="28"/>
          <w:szCs w:val="28"/>
          <w:highlight w:val="none"/>
          <w:u w:val="none"/>
          <w:lang w:val="en-US" w:eastAsia="zh-Hans" w:bidi="ar-SA"/>
        </w:rPr>
        <w:t>造成损失或侵害，包括但不限于</w:t>
      </w:r>
      <w:r>
        <w:rPr>
          <w:rFonts w:hint="eastAsia" w:ascii="仿宋" w:hAnsi="仿宋" w:eastAsia="仿宋" w:cs="仿宋"/>
          <w:b w:val="0"/>
          <w:bCs w:val="0"/>
          <w:color w:val="auto"/>
          <w:kern w:val="0"/>
          <w:sz w:val="28"/>
          <w:szCs w:val="28"/>
          <w:highlight w:val="none"/>
          <w:u w:val="none"/>
          <w:lang w:val="en-US" w:eastAsia="zh-CN" w:bidi="ar-SA"/>
        </w:rPr>
        <w:t>甲方</w:t>
      </w:r>
      <w:r>
        <w:rPr>
          <w:rFonts w:hint="eastAsia" w:ascii="仿宋" w:hAnsi="仿宋" w:eastAsia="仿宋" w:cs="仿宋"/>
          <w:b w:val="0"/>
          <w:bCs w:val="0"/>
          <w:color w:val="auto"/>
          <w:kern w:val="0"/>
          <w:sz w:val="28"/>
          <w:szCs w:val="28"/>
          <w:highlight w:val="none"/>
          <w:u w:val="none"/>
          <w:lang w:val="en-US" w:eastAsia="zh-Hans" w:bidi="ar-SA"/>
        </w:rPr>
        <w:t>本身的财产损失、由此而导致的</w:t>
      </w:r>
      <w:r>
        <w:rPr>
          <w:rFonts w:hint="eastAsia" w:ascii="仿宋" w:hAnsi="仿宋" w:eastAsia="仿宋" w:cs="仿宋"/>
          <w:b w:val="0"/>
          <w:bCs w:val="0"/>
          <w:color w:val="auto"/>
          <w:kern w:val="0"/>
          <w:sz w:val="28"/>
          <w:szCs w:val="28"/>
          <w:highlight w:val="none"/>
          <w:u w:val="none"/>
          <w:lang w:val="en-US" w:eastAsia="zh-CN" w:bidi="ar-SA"/>
        </w:rPr>
        <w:t>甲方</w:t>
      </w:r>
      <w:r>
        <w:rPr>
          <w:rFonts w:hint="eastAsia" w:ascii="仿宋" w:hAnsi="仿宋" w:eastAsia="仿宋" w:cs="仿宋"/>
          <w:b w:val="0"/>
          <w:bCs w:val="0"/>
          <w:color w:val="auto"/>
          <w:kern w:val="0"/>
          <w:sz w:val="28"/>
          <w:szCs w:val="28"/>
          <w:highlight w:val="none"/>
          <w:u w:val="none"/>
          <w:lang w:val="en-US" w:eastAsia="zh-Hans" w:bidi="ar-SA"/>
        </w:rPr>
        <w:t>对任何第三方的法律责任等，</w:t>
      </w:r>
      <w:r>
        <w:rPr>
          <w:rFonts w:hint="eastAsia" w:ascii="仿宋" w:hAnsi="仿宋" w:eastAsia="仿宋" w:cs="仿宋"/>
          <w:b w:val="0"/>
          <w:bCs w:val="0"/>
          <w:color w:val="auto"/>
          <w:kern w:val="0"/>
          <w:sz w:val="28"/>
          <w:szCs w:val="28"/>
          <w:highlight w:val="none"/>
          <w:u w:val="none"/>
          <w:lang w:val="en-US" w:eastAsia="zh-CN" w:bidi="ar-SA"/>
        </w:rPr>
        <w:t>乙方</w:t>
      </w:r>
      <w:r>
        <w:rPr>
          <w:rFonts w:hint="eastAsia" w:ascii="仿宋" w:hAnsi="仿宋" w:eastAsia="仿宋" w:cs="仿宋"/>
          <w:b w:val="0"/>
          <w:bCs w:val="0"/>
          <w:color w:val="auto"/>
          <w:kern w:val="0"/>
          <w:sz w:val="28"/>
          <w:szCs w:val="28"/>
          <w:highlight w:val="none"/>
          <w:u w:val="none"/>
          <w:lang w:val="en-US" w:eastAsia="zh-Hans" w:bidi="ar-SA"/>
        </w:rPr>
        <w:t xml:space="preserve">对此均应承担全部的赔偿责任。 </w:t>
      </w:r>
    </w:p>
    <w:p w14:paraId="1B1937A3">
      <w:pPr>
        <w:pStyle w:val="90"/>
        <w:ind w:firstLine="480"/>
        <w:jc w:val="left"/>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2.1</w:t>
      </w:r>
      <w:r>
        <w:rPr>
          <w:rFonts w:hint="eastAsia" w:ascii="仿宋" w:hAnsi="仿宋" w:eastAsia="仿宋" w:cs="仿宋"/>
          <w:b w:val="0"/>
          <w:bCs w:val="0"/>
          <w:color w:val="auto"/>
          <w:kern w:val="0"/>
          <w:sz w:val="28"/>
          <w:szCs w:val="28"/>
          <w:highlight w:val="none"/>
          <w:lang w:val="en-US" w:eastAsia="zh-CN" w:bidi="ar-SA"/>
        </w:rPr>
        <w:t>在日后巡察、复审、监督、检查等过程中，发现乙方履行义务过程中由于疏忽、失职、过错等故意或过失原因造成评审复核或复审结果差异率（即（初审审定额-复核审定额）/初审审定额*100%,下同）在3%以内的不扣除审核费用；3%&lt;误差&lt;10%,超过3%部分，每超过1%扣除5%的审核费用（不足1%按1%计）;误差&gt;10%的扣除单项全部评审服务费用。</w:t>
      </w:r>
    </w:p>
    <w:p w14:paraId="4878AA49">
      <w:pPr>
        <w:pStyle w:val="90"/>
        <w:ind w:firstLine="480"/>
        <w:jc w:val="left"/>
        <w:rPr>
          <w:rFonts w:hint="default"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2.2若报告存在多计、漏计工程量，资料缺失仍然计算工程量等情况，造成多计、多付工程款无法直接收回的，乙方应赔偿因此造成的相关损失，该损失额度不以评审服务费为限。</w:t>
      </w:r>
    </w:p>
    <w:p w14:paraId="00ECEF14">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Hans" w:bidi="ar-SA"/>
        </w:rPr>
      </w:pPr>
      <w:r>
        <w:rPr>
          <w:rFonts w:hint="eastAsia" w:ascii="仿宋" w:hAnsi="仿宋" w:eastAsia="仿宋" w:cs="仿宋"/>
          <w:b w:val="0"/>
          <w:bCs w:val="0"/>
          <w:color w:val="auto"/>
          <w:kern w:val="0"/>
          <w:sz w:val="28"/>
          <w:szCs w:val="28"/>
          <w:highlight w:val="none"/>
          <w:u w:val="none"/>
          <w:lang w:val="en-US" w:eastAsia="zh-CN" w:bidi="ar-SA"/>
        </w:rPr>
        <w:t>3、乙方</w:t>
      </w:r>
      <w:r>
        <w:rPr>
          <w:rFonts w:hint="eastAsia" w:ascii="仿宋" w:hAnsi="仿宋" w:eastAsia="仿宋" w:cs="仿宋"/>
          <w:b w:val="0"/>
          <w:bCs w:val="0"/>
          <w:color w:val="auto"/>
          <w:kern w:val="0"/>
          <w:sz w:val="28"/>
          <w:szCs w:val="28"/>
          <w:highlight w:val="none"/>
          <w:u w:val="none"/>
          <w:lang w:val="en-US" w:eastAsia="zh-Hans" w:bidi="ar-SA"/>
        </w:rPr>
        <w:t>所派人员在实地调研及履约过程中发生的人身、财产事故由</w:t>
      </w:r>
      <w:r>
        <w:rPr>
          <w:rFonts w:hint="eastAsia" w:ascii="仿宋" w:hAnsi="仿宋" w:eastAsia="仿宋" w:cs="仿宋"/>
          <w:b w:val="0"/>
          <w:bCs w:val="0"/>
          <w:color w:val="auto"/>
          <w:kern w:val="0"/>
          <w:sz w:val="28"/>
          <w:szCs w:val="28"/>
          <w:highlight w:val="none"/>
          <w:u w:val="none"/>
          <w:lang w:val="en-US" w:eastAsia="zh-CN" w:bidi="ar-SA"/>
        </w:rPr>
        <w:t>乙方</w:t>
      </w:r>
      <w:r>
        <w:rPr>
          <w:rFonts w:hint="eastAsia" w:ascii="仿宋" w:hAnsi="仿宋" w:eastAsia="仿宋" w:cs="仿宋"/>
          <w:b w:val="0"/>
          <w:bCs w:val="0"/>
          <w:color w:val="auto"/>
          <w:kern w:val="0"/>
          <w:sz w:val="28"/>
          <w:szCs w:val="28"/>
          <w:highlight w:val="none"/>
          <w:u w:val="none"/>
          <w:lang w:val="en-US" w:eastAsia="zh-Hans" w:bidi="ar-SA"/>
        </w:rPr>
        <w:t xml:space="preserve">自行负责。 </w:t>
      </w:r>
    </w:p>
    <w:p w14:paraId="004A97AD">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十、不可抗事件处理</w:t>
      </w:r>
    </w:p>
    <w:p w14:paraId="4F904D59">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1、在合同有效期内，任何一方因不可抗力事件导致不能履行合同，则合同履行期可延长， 其延长期与不可抗力影响期相同。 </w:t>
      </w:r>
    </w:p>
    <w:p w14:paraId="6ACF0ED7">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 xml:space="preserve">2、不可抗力事件发生后，应立即通知对方，并寄送有关权威机构出具的证明。 </w:t>
      </w:r>
    </w:p>
    <w:p w14:paraId="4B5CA675">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3、不可抗力事件延续</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u w:val="none"/>
          <w:lang w:val="en-US" w:eastAsia="zh-CN" w:bidi="ar-SA"/>
        </w:rPr>
        <w:t>天以上，双方应通过友好协商，确定是否继续履行合同。</w:t>
      </w:r>
    </w:p>
    <w:p w14:paraId="7E7E3147">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十一、解决合同纠纷的方式</w:t>
      </w:r>
    </w:p>
    <w:p w14:paraId="5DB6EEF4">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Hans" w:bidi="ar-SA"/>
        </w:rPr>
      </w:pPr>
      <w:r>
        <w:rPr>
          <w:rFonts w:hint="eastAsia" w:ascii="仿宋" w:hAnsi="仿宋" w:eastAsia="仿宋" w:cs="仿宋"/>
          <w:b w:val="0"/>
          <w:bCs w:val="0"/>
          <w:color w:val="auto"/>
          <w:kern w:val="0"/>
          <w:sz w:val="28"/>
          <w:szCs w:val="28"/>
          <w:highlight w:val="none"/>
          <w:u w:val="none"/>
          <w:lang w:val="en-US" w:eastAsia="zh-CN" w:bidi="ar-SA"/>
        </w:rPr>
        <w:t>1、在执行合同中发生的或与合同有关的争端，双方应通过友好协商解决，并可签订补充协议，协商不成的双方选择由甲方所在地人民法院诉讼管辖。</w:t>
      </w:r>
      <w:r>
        <w:rPr>
          <w:rFonts w:hint="eastAsia" w:ascii="仿宋" w:hAnsi="仿宋" w:eastAsia="仿宋" w:cs="仿宋"/>
          <w:b w:val="0"/>
          <w:bCs w:val="0"/>
          <w:color w:val="auto"/>
          <w:kern w:val="0"/>
          <w:sz w:val="28"/>
          <w:szCs w:val="28"/>
          <w:highlight w:val="none"/>
          <w:u w:val="none"/>
          <w:lang w:val="en-US" w:eastAsia="zh-Hans" w:bidi="ar-SA"/>
        </w:rPr>
        <w:t xml:space="preserve"> </w:t>
      </w:r>
    </w:p>
    <w:p w14:paraId="7ED4463A">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2、诉讼结果为最终决定，并对双方具有约束力。</w:t>
      </w:r>
    </w:p>
    <w:p w14:paraId="2DCFCD11">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3、在诉讼期间，除正在进行诉讼部分外，合同其他部分继续执行。</w:t>
      </w:r>
    </w:p>
    <w:p w14:paraId="2E7A54A1">
      <w:pPr>
        <w:pStyle w:val="3"/>
        <w:pageBreakBefore w:val="0"/>
        <w:widowControl w:val="0"/>
        <w:kinsoku/>
        <w:wordWrap/>
        <w:overflowPunct/>
        <w:topLinePunct w:val="0"/>
        <w:autoSpaceDE/>
        <w:autoSpaceDN/>
        <w:bidi w:val="0"/>
        <w:adjustRightInd/>
        <w:snapToGrid/>
        <w:spacing w:line="520" w:lineRule="exact"/>
        <w:ind w:firstLine="570" w:firstLineChars="200"/>
        <w:jc w:val="both"/>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十二、合同生效及其他</w:t>
      </w:r>
    </w:p>
    <w:p w14:paraId="686060E3">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default"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1、合同各方一致确认以下通讯地址和联系方式（或本合同中记载的各方通讯地址和联系方式）为各方履行合同、解决合同争议时向接收其他方商业文件信函或司法机关（法院、仲裁机构）诉讼、仲裁文书的地址和联系方式；任何一方通讯地址和联系方式发生变更的，应提前五个工作日以书面形式告知对方，因各方提供或者确认的送达地址和联系方式不准确、或者送达地址变更后未及时告知对方导致商业文件信函和诉讼文书未能被当事人实际接收的，以文书退回之日视为送达之日。</w:t>
      </w:r>
    </w:p>
    <w:p w14:paraId="3A07044E">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eastAsia" w:ascii="仿宋" w:hAnsi="仿宋" w:eastAsia="仿宋" w:cs="仿宋"/>
          <w:b w:val="0"/>
          <w:bCs w:val="0"/>
          <w:color w:val="auto"/>
          <w:kern w:val="0"/>
          <w:sz w:val="28"/>
          <w:szCs w:val="28"/>
          <w:highlight w:val="none"/>
          <w:u w:val="none"/>
          <w:lang w:val="en-US" w:eastAsia="zh-CN" w:bidi="ar-SA"/>
        </w:rPr>
      </w:pPr>
      <w:r>
        <w:rPr>
          <w:rFonts w:hint="eastAsia" w:ascii="仿宋" w:hAnsi="仿宋" w:eastAsia="仿宋" w:cs="仿宋"/>
          <w:b w:val="0"/>
          <w:bCs w:val="0"/>
          <w:color w:val="auto"/>
          <w:kern w:val="0"/>
          <w:sz w:val="28"/>
          <w:szCs w:val="28"/>
          <w:highlight w:val="none"/>
          <w:u w:val="none"/>
          <w:lang w:val="en-US" w:eastAsia="zh-CN" w:bidi="ar-SA"/>
        </w:rPr>
        <w:t>2、如有未尽事宜，由双方依法订立补充合同。</w:t>
      </w:r>
    </w:p>
    <w:p w14:paraId="4E9C47D8">
      <w:pPr>
        <w:pageBreakBefore w:val="0"/>
        <w:kinsoku/>
        <w:wordWrap/>
        <w:overflowPunct/>
        <w:topLinePunct w:val="0"/>
        <w:autoSpaceDE/>
        <w:autoSpaceDN/>
        <w:bidi w:val="0"/>
        <w:adjustRightInd w:val="0"/>
        <w:snapToGrid w:val="0"/>
        <w:spacing w:line="360" w:lineRule="auto"/>
        <w:ind w:firstLine="570" w:firstLineChars="200"/>
        <w:jc w:val="both"/>
        <w:textAlignment w:val="auto"/>
        <w:rPr>
          <w:rFonts w:hint="default" w:ascii="仿宋" w:hAnsi="仿宋" w:eastAsia="仿宋" w:cs="仿宋"/>
          <w:b w:val="0"/>
          <w:bCs w:val="0"/>
          <w:color w:val="auto"/>
          <w:kern w:val="0"/>
          <w:sz w:val="28"/>
          <w:szCs w:val="28"/>
          <w:highlight w:val="none"/>
          <w:u w:val="none"/>
          <w:lang w:val="en-US" w:eastAsia="zh-CN" w:bidi="ar-SA"/>
        </w:rPr>
      </w:pPr>
      <w:r>
        <w:rPr>
          <w:rFonts w:hint="default" w:ascii="仿宋" w:hAnsi="仿宋" w:eastAsia="仿宋" w:cs="仿宋"/>
          <w:b w:val="0"/>
          <w:bCs w:val="0"/>
          <w:color w:val="auto"/>
          <w:kern w:val="0"/>
          <w:sz w:val="28"/>
          <w:szCs w:val="28"/>
          <w:highlight w:val="none"/>
          <w:u w:val="none"/>
          <w:lang w:val="en-US" w:eastAsia="zh-CN" w:bidi="ar-SA"/>
        </w:rPr>
        <w:t>3、本合同一式</w:t>
      </w:r>
      <w:r>
        <w:rPr>
          <w:rFonts w:hint="default" w:ascii="仿宋" w:hAnsi="仿宋" w:eastAsia="仿宋" w:cs="仿宋"/>
          <w:b/>
          <w:bCs/>
          <w:color w:val="auto"/>
          <w:kern w:val="0"/>
          <w:sz w:val="28"/>
          <w:szCs w:val="28"/>
          <w:highlight w:val="none"/>
          <w:u w:val="none"/>
          <w:lang w:val="en-US" w:eastAsia="zh-CN" w:bidi="ar-SA"/>
        </w:rPr>
        <w:t>XX</w:t>
      </w:r>
      <w:r>
        <w:rPr>
          <w:rFonts w:hint="default" w:ascii="仿宋" w:hAnsi="仿宋" w:eastAsia="仿宋" w:cs="仿宋"/>
          <w:b w:val="0"/>
          <w:bCs w:val="0"/>
          <w:color w:val="auto"/>
          <w:kern w:val="0"/>
          <w:sz w:val="28"/>
          <w:szCs w:val="28"/>
          <w:highlight w:val="none"/>
          <w:u w:val="none"/>
          <w:lang w:val="en-US" w:eastAsia="zh-CN" w:bidi="ar-SA"/>
        </w:rPr>
        <w:t>份，自双方签章之日起起效。甲方</w:t>
      </w:r>
      <w:r>
        <w:rPr>
          <w:rFonts w:hint="default" w:ascii="仿宋" w:hAnsi="仿宋" w:eastAsia="仿宋" w:cs="仿宋"/>
          <w:b/>
          <w:bCs/>
          <w:color w:val="auto"/>
          <w:kern w:val="0"/>
          <w:sz w:val="28"/>
          <w:szCs w:val="28"/>
          <w:highlight w:val="none"/>
          <w:u w:val="none"/>
          <w:lang w:val="en-US" w:eastAsia="zh-CN" w:bidi="ar-SA"/>
        </w:rPr>
        <w:t>XX</w:t>
      </w:r>
      <w:r>
        <w:rPr>
          <w:rFonts w:hint="default" w:ascii="仿宋" w:hAnsi="仿宋" w:eastAsia="仿宋" w:cs="仿宋"/>
          <w:b w:val="0"/>
          <w:bCs w:val="0"/>
          <w:color w:val="auto"/>
          <w:kern w:val="0"/>
          <w:sz w:val="28"/>
          <w:szCs w:val="28"/>
          <w:highlight w:val="none"/>
          <w:u w:val="none"/>
          <w:lang w:val="en-US" w:eastAsia="zh-CN" w:bidi="ar-SA"/>
        </w:rPr>
        <w:t>份，乙方</w:t>
      </w:r>
      <w:r>
        <w:rPr>
          <w:rFonts w:hint="default" w:ascii="仿宋" w:hAnsi="仿宋" w:eastAsia="仿宋" w:cs="仿宋"/>
          <w:b/>
          <w:bCs/>
          <w:color w:val="auto"/>
          <w:kern w:val="0"/>
          <w:sz w:val="28"/>
          <w:szCs w:val="28"/>
          <w:highlight w:val="none"/>
          <w:u w:val="none"/>
          <w:lang w:val="en-US" w:eastAsia="zh-CN" w:bidi="ar-SA"/>
        </w:rPr>
        <w:t>XX</w:t>
      </w:r>
      <w:r>
        <w:rPr>
          <w:rFonts w:hint="default" w:ascii="仿宋" w:hAnsi="仿宋" w:eastAsia="仿宋" w:cs="仿宋"/>
          <w:b w:val="0"/>
          <w:bCs w:val="0"/>
          <w:color w:val="auto"/>
          <w:kern w:val="0"/>
          <w:sz w:val="28"/>
          <w:szCs w:val="28"/>
          <w:highlight w:val="none"/>
          <w:u w:val="none"/>
          <w:lang w:val="en-US" w:eastAsia="zh-CN" w:bidi="ar-SA"/>
        </w:rPr>
        <w:t>份，每份具有同等法律效力。</w:t>
      </w:r>
    </w:p>
    <w:p w14:paraId="2F5B3070">
      <w:pPr>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color w:val="auto"/>
          <w:sz w:val="28"/>
          <w:szCs w:val="28"/>
          <w:highlight w:val="none"/>
        </w:rPr>
      </w:pPr>
    </w:p>
    <w:p w14:paraId="4BCED9AC">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甲方：   （盖章）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乙方：   （盖章）</w:t>
      </w:r>
    </w:p>
    <w:p w14:paraId="4EE6EA15">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        法定代表人（授权代表）：</w:t>
      </w:r>
    </w:p>
    <w:p w14:paraId="0F172F07">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44E47978">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5B022891">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                          账号：</w:t>
      </w:r>
    </w:p>
    <w:p w14:paraId="574848EF">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电    话：</w:t>
      </w:r>
    </w:p>
    <w:p w14:paraId="46656661">
      <w:pPr>
        <w:pageBreakBefore w:val="0"/>
        <w:widowControl w:val="0"/>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                      传    真：</w:t>
      </w:r>
    </w:p>
    <w:p w14:paraId="77E1F837">
      <w:pPr>
        <w:pageBreakBefore w:val="0"/>
        <w:widowControl w:val="0"/>
        <w:tabs>
          <w:tab w:val="left" w:pos="7665"/>
        </w:tabs>
        <w:kinsoku/>
        <w:wordWrap/>
        <w:overflowPunct/>
        <w:topLinePunct w:val="0"/>
        <w:autoSpaceDE/>
        <w:autoSpaceDN/>
        <w:bidi w:val="0"/>
        <w:adjustRightInd/>
        <w:snapToGrid/>
        <w:spacing w:line="560" w:lineRule="exact"/>
        <w:ind w:left="0" w:leftChars="0" w:right="0" w:rightChars="0" w:firstLine="570" w:firstLineChars="200"/>
        <w:jc w:val="both"/>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签约日期：XX年XX月XX日</w:t>
      </w:r>
      <w:r>
        <w:rPr>
          <w:rFonts w:hint="default" w:ascii="Times New Roman" w:hAnsi="Times New Roman" w:eastAsia="仿宋" w:cs="Times New Roman"/>
          <w:color w:val="auto"/>
          <w:sz w:val="28"/>
          <w:szCs w:val="28"/>
          <w:highlight w:val="none"/>
          <w:lang w:val="en-US" w:eastAsia="zh-CN"/>
        </w:rPr>
        <w:t xml:space="preserve">    </w:t>
      </w:r>
      <w:r>
        <w:rPr>
          <w:rFonts w:hint="default" w:ascii="Times New Roman" w:hAnsi="Times New Roman" w:eastAsia="仿宋" w:cs="Times New Roman"/>
          <w:color w:val="auto"/>
          <w:sz w:val="28"/>
          <w:szCs w:val="28"/>
          <w:highlight w:val="none"/>
        </w:rPr>
        <w:t>签约日期：XX年XX月XX日</w:t>
      </w:r>
    </w:p>
    <w:p w14:paraId="09E118B9">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rightChars="0" w:firstLine="570" w:firstLineChars="200"/>
        <w:jc w:val="both"/>
        <w:textAlignment w:val="auto"/>
        <w:outlineLvl w:val="9"/>
        <w:rPr>
          <w:rFonts w:hint="eastAsia" w:ascii="仿宋" w:hAnsi="仿宋" w:eastAsia="仿宋" w:cs="仿宋"/>
          <w:b/>
          <w:bCs/>
          <w:color w:val="auto"/>
          <w:sz w:val="28"/>
          <w:szCs w:val="28"/>
          <w:highlight w:val="none"/>
        </w:rPr>
      </w:pPr>
    </w:p>
    <w:p w14:paraId="01D368C9">
      <w:pPr>
        <w:rPr>
          <w:rFonts w:ascii="仿宋" w:hAnsi="仿宋" w:eastAsia="仿宋"/>
          <w:color w:val="auto"/>
          <w:sz w:val="30"/>
          <w:szCs w:val="30"/>
          <w:highlight w:val="none"/>
        </w:rPr>
      </w:pPr>
    </w:p>
    <w:sectPr>
      <w:footerReference r:id="rId12" w:type="first"/>
      <w:footerReference r:id="rId11" w:type="default"/>
      <w:pgSz w:w="11906" w:h="16838"/>
      <w:pgMar w:top="1440" w:right="1304" w:bottom="1440" w:left="1304" w:header="850" w:footer="992" w:gutter="0"/>
      <w:pgBorders>
        <w:top w:val="none" w:sz="0" w:space="0"/>
        <w:left w:val="none" w:sz="0" w:space="0"/>
        <w:bottom w:val="none" w:sz="0" w:space="0"/>
        <w:right w:val="none" w:sz="0" w:space="0"/>
      </w:pgBorders>
      <w:cols w:space="0" w:num="1"/>
      <w:titlePg/>
      <w:rtlGutter w:val="0"/>
      <w:docGrid w:type="linesAndChars" w:linePitch="317" w:charSpace="12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44A46">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6FB155C">
                          <w:pPr>
                            <w:pStyle w:val="19"/>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wrap="none" lIns="0" tIns="0" rIns="0" bIns="0" upright="1">
                      <a:spAutoFit/>
                    </wps:bodyPr>
                  </wps:wsp>
                </a:graphicData>
              </a:graphic>
            </wp:anchor>
          </w:drawing>
        </mc:Choice>
        <mc:Fallback>
          <w:pict>
            <v:shape id="文本框 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pi/BG9IBAACkAwAADgAAAAAAAAABACAAAAAi&#10;AQAAZHJzL2Uyb0RvYy54bWxQSwUGAAAAAAYABgBZAQAAZgUAAAAA&#10;">
              <v:fill on="f" focussize="0,0"/>
              <v:stroke on="f" weight="1.25pt"/>
              <v:imagedata o:title=""/>
              <o:lock v:ext="edit" aspectratio="f"/>
              <v:textbox inset="0mm,0mm,0mm,0mm" style="mso-fit-shape-to-text:t;">
                <w:txbxContent>
                  <w:p w14:paraId="36FB155C">
                    <w:pPr>
                      <w:pStyle w:val="19"/>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986AB">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83C2048">
                          <w:pPr>
                            <w:pStyle w:val="1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1">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CZUvvTAQAApAMAAA4AAAAAAAAAAQAgAAAA&#10;IgEAAGRycy9lMm9Eb2MueG1sUEsFBgAAAAAGAAYAWQEAAGcFAAAAAA==&#10;">
              <v:fill on="f" focussize="0,0"/>
              <v:stroke on="f" weight="1.25pt"/>
              <v:imagedata o:title=""/>
              <o:lock v:ext="edit" aspectratio="f"/>
              <v:textbox inset="0mm,0mm,0mm,0mm" style="mso-fit-shape-to-text:t;">
                <w:txbxContent>
                  <w:p w14:paraId="383C2048">
                    <w:pPr>
                      <w:pStyle w:val="1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119A0">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475D764">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wps:txbx>
                    <wps:bodyPr wrap="none" lIns="0" tIns="0" rIns="0" bIns="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bgltfTAQAApAMAAA4AAAAAAAAAAQAgAAAA&#10;IgEAAGRycy9lMm9Eb2MueG1sUEsFBgAAAAAGAAYAWQEAAGcFAAAAAA==&#10;">
              <v:fill on="f" focussize="0,0"/>
              <v:stroke on="f" weight="1.25pt"/>
              <v:imagedata o:title=""/>
              <o:lock v:ext="edit" aspectratio="f"/>
              <v:textbox inset="0mm,0mm,0mm,0mm" style="mso-fit-shape-to-text:t;">
                <w:txbxContent>
                  <w:p w14:paraId="0475D764">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47D54">
    <w:pPr>
      <w:pStyle w:val="19"/>
      <w:framePr w:wrap="around" w:vAnchor="text" w:hAnchor="margin" w:xAlign="center" w:y="1"/>
      <w:rPr>
        <w:rStyle w:val="37"/>
      </w:rPr>
    </w:pPr>
    <w:r>
      <w:rPr>
        <w:rStyle w:val="37"/>
      </w:rPr>
      <w:fldChar w:fldCharType="begin"/>
    </w:r>
    <w:r>
      <w:rPr>
        <w:rStyle w:val="37"/>
      </w:rPr>
      <w:instrText xml:space="preserve">PAGE  </w:instrText>
    </w:r>
    <w:r>
      <w:rPr>
        <w:rStyle w:val="37"/>
      </w:rPr>
      <w:fldChar w:fldCharType="separate"/>
    </w:r>
    <w:r>
      <w:rPr>
        <w:rStyle w:val="37"/>
      </w:rPr>
      <w:t xml:space="preserve"> </w:t>
    </w:r>
    <w:r>
      <w:rPr>
        <w:rStyle w:val="37"/>
      </w:rPr>
      <w:fldChar w:fldCharType="end"/>
    </w:r>
  </w:p>
  <w:p w14:paraId="00BBAB28">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2019D">
    <w:pPr>
      <w:pStyle w:val="19"/>
      <w:rPr>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A537A0A">
                          <w:pPr>
                            <w:pStyle w:val="19"/>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txbxContent>
                    </wps:txbx>
                    <wps:bodyPr wrap="none" lIns="0" tIns="0" rIns="0" bIns="0" upright="1">
                      <a:spAutoFit/>
                    </wps:bodyPr>
                  </wps:wsp>
                </a:graphicData>
              </a:graphic>
            </wp:anchor>
          </w:drawing>
        </mc:Choice>
        <mc:Fallback>
          <w:pict>
            <v:shape id="文本框 4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GTOzXTAQAApAMAAA4AAABkcnMvZTJvRG9jLnhtbK1TzY7TMBC+&#10;I/EOlu80aUW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Xt8kfXoPNabde0yMwzs34NbM94CXifYgg0lfJEQwjuqer+qKIRKeHlWrqioxxDE2O4hfPD73&#10;AeJ74QxJRkMDji+ryk4fIY6pc0qqZt2d0jqPUFvSI+q6erPOL64hRNcWiyQWY7fJisN+mKjtXXtG&#10;Zj3uQEMtrjwl+oNFidO6zEaYjf1sHH1Qhw6bXOZ64N8eI7aTu0wVRtipMA4v85wWLW3H337Oevy5&#10;t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DGTOzXTAQAApAMAAA4AAAAAAAAAAQAgAAAA&#10;IgEAAGRycy9lMm9Eb2MueG1sUEsFBgAAAAAGAAYAWQEAAGcFAAAAAA==&#10;">
              <v:fill on="f" focussize="0,0"/>
              <v:stroke on="f" weight="1.25pt"/>
              <v:imagedata o:title=""/>
              <o:lock v:ext="edit" aspectratio="f"/>
              <v:textbox inset="0mm,0mm,0mm,0mm" style="mso-fit-shape-to-text:t;">
                <w:txbxContent>
                  <w:p w14:paraId="7A537A0A">
                    <w:pPr>
                      <w:pStyle w:val="19"/>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471E1">
    <w:pPr>
      <w:pStyle w:val="19"/>
      <w:rPr>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362BC07">
                          <w:pPr>
                            <w:pStyle w:val="19"/>
                          </w:pPr>
                          <w:r>
                            <w:rPr>
                              <w:rFonts w:hint="eastAsia"/>
                            </w:rPr>
                            <w:fldChar w:fldCharType="begin"/>
                          </w:r>
                          <w:r>
                            <w:rPr>
                              <w:rFonts w:hint="eastAsia"/>
                            </w:rPr>
                            <w:instrText xml:space="preserve"> PAGE  \* MERGEFORMAT </w:instrText>
                          </w:r>
                          <w:r>
                            <w:rPr>
                              <w:rFonts w:hint="eastAsia"/>
                            </w:rPr>
                            <w:fldChar w:fldCharType="separate"/>
                          </w:r>
                          <w:r>
                            <w:t>59</w:t>
                          </w:r>
                          <w:r>
                            <w:rPr>
                              <w:rFonts w:hint="eastAsia"/>
                            </w:rPr>
                            <w:fldChar w:fldCharType="end"/>
                          </w:r>
                        </w:p>
                      </w:txbxContent>
                    </wps:txbx>
                    <wps:bodyPr wrap="none" lIns="0" tIns="0" rIns="0" bIns="0" upright="1">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D8QAEDTAQAApAMAAA4AAAAAAAAAAQAgAAAA&#10;IgEAAGRycy9lMm9Eb2MueG1sUEsFBgAAAAAGAAYAWQEAAGcFAAAAAA==&#10;">
              <v:fill on="f" focussize="0,0"/>
              <v:stroke on="f" weight="1.25pt"/>
              <v:imagedata o:title=""/>
              <o:lock v:ext="edit" aspectratio="f"/>
              <v:textbox inset="0mm,0mm,0mm,0mm" style="mso-fit-shape-to-text:t;">
                <w:txbxContent>
                  <w:p w14:paraId="6362BC07">
                    <w:pPr>
                      <w:pStyle w:val="19"/>
                    </w:pPr>
                    <w:r>
                      <w:rPr>
                        <w:rFonts w:hint="eastAsia"/>
                      </w:rPr>
                      <w:fldChar w:fldCharType="begin"/>
                    </w:r>
                    <w:r>
                      <w:rPr>
                        <w:rFonts w:hint="eastAsia"/>
                      </w:rPr>
                      <w:instrText xml:space="preserve"> PAGE  \* MERGEFORMAT </w:instrText>
                    </w:r>
                    <w:r>
                      <w:rPr>
                        <w:rFonts w:hint="eastAsia"/>
                      </w:rPr>
                      <w:fldChar w:fldCharType="separate"/>
                    </w:r>
                    <w:r>
                      <w:t>59</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46B8D">
    <w:pPr>
      <w:pStyle w:val="20"/>
      <w:jc w:val="both"/>
      <w:rPr>
        <w:rFonts w:hint="default" w:ascii="仿宋" w:hAnsi="仿宋" w:eastAsia="仿宋" w:cs="仿宋"/>
        <w:sz w:val="24"/>
        <w:szCs w:val="24"/>
        <w:lang w:val="en-US" w:eastAsia="zh-CN"/>
      </w:rPr>
    </w:pPr>
    <w:r>
      <w:rPr>
        <w:rFonts w:hint="eastAsia" w:ascii="仿宋" w:hAnsi="仿宋" w:eastAsia="仿宋" w:cs="仿宋"/>
        <w:sz w:val="24"/>
        <w:szCs w:val="24"/>
      </w:rPr>
      <w:t xml:space="preserve">四川嘉润招标代理有限公司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项目编号：</w:t>
    </w:r>
    <w:r>
      <w:rPr>
        <w:rFonts w:hint="eastAsia" w:ascii="仿宋" w:hAnsi="仿宋" w:eastAsia="仿宋" w:cs="仿宋"/>
        <w:sz w:val="24"/>
        <w:szCs w:val="24"/>
        <w:lang w:val="en-US" w:eastAsia="zh-CN"/>
      </w:rPr>
      <w:t>嘉润（采）字[2023]48号</w:t>
    </w:r>
  </w:p>
  <w:p w14:paraId="7AA19200">
    <w:pPr>
      <w:pStyle w:val="20"/>
      <w:pBdr>
        <w:bottom w:val="none" w:color="auto" w:sz="0" w:space="0"/>
      </w:pBdr>
    </w:pPr>
    <w:r>
      <w:pict>
        <v:shape id="PowerPlusWaterMarkObject8445" o:spid="_x0000_s4097" o:spt="136" type="#_x0000_t136" style="position:absolute;left:0pt;height:90.55pt;width:476.35pt;mso-position-horizontal:center;mso-position-horizontal-relative:margin;mso-position-vertical:center;mso-position-vertical-relative:margin;rotation:-2949120f;z-index:-251656192;mso-width-relative:page;mso-height-relative:page;" fillcolor="#C0C0C0" filled="t" stroked="f" coordsize="21600,21600">
          <v:path/>
          <v:fill on="t" opacity="19660f" focussize="0,0"/>
          <v:stroke on="f"/>
          <v:imagedata o:title=""/>
          <o:lock v:ext="edit" aspectratio="t"/>
          <v:textpath on="t" fitshape="t" fitpath="t" trim="t" xscale="f" string="四川嘉润招标" style="font-family:宋体;font-size:9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D6D34">
    <w:pPr>
      <w:pStyle w:val="20"/>
      <w:pBdr>
        <w:top w:val="none" w:color="auto" w:sz="0" w:space="0"/>
        <w:left w:val="none" w:color="auto" w:sz="0" w:space="0"/>
        <w:bottom w:val="none" w:color="auto" w:sz="0" w:space="1"/>
        <w:right w:val="none" w:color="auto" w:sz="0" w:space="0"/>
        <w:between w:val="none" w:color="auto" w:sz="0" w:space="0"/>
      </w:pBdr>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CDFEB">
    <w:pPr>
      <w:pStyle w:val="2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F548">
    <w:pPr>
      <w:pStyle w:val="20"/>
    </w:pPr>
    <w:r>
      <w:rPr>
        <w:lang w:val="zh-CN"/>
      </w:rPr>
      <w:t>[在此处键入]</w:t>
    </w:r>
  </w:p>
  <w:p w14:paraId="03DBC18F">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18856"/>
    <w:multiLevelType w:val="singleLevel"/>
    <w:tmpl w:val="FBF18856"/>
    <w:lvl w:ilvl="0" w:tentative="0">
      <w:start w:val="1"/>
      <w:numFmt w:val="chineseCounting"/>
      <w:suff w:val="nothing"/>
      <w:lvlText w:val="%1、"/>
      <w:lvlJc w:val="left"/>
      <w:rPr>
        <w:rFonts w:hint="eastAsia"/>
      </w:rPr>
    </w:lvl>
  </w:abstractNum>
  <w:abstractNum w:abstractNumId="1">
    <w:nsid w:val="0AA05503"/>
    <w:multiLevelType w:val="multilevel"/>
    <w:tmpl w:val="0AA05503"/>
    <w:lvl w:ilvl="0" w:tentative="0">
      <w:start w:val="1"/>
      <w:numFmt w:val="decimal"/>
      <w:lvlText w:val="%1、"/>
      <w:lvlJc w:val="left"/>
      <w:pPr>
        <w:ind w:left="1014" w:hanging="450"/>
      </w:pPr>
      <w:rPr>
        <w:rFonts w:hint="default"/>
      </w:rPr>
    </w:lvl>
    <w:lvl w:ilvl="1" w:tentative="0">
      <w:start w:val="1"/>
      <w:numFmt w:val="japaneseCounting"/>
      <w:lvlText w:val="（%2）"/>
      <w:lvlJc w:val="left"/>
      <w:pPr>
        <w:ind w:left="2064" w:hanging="1080"/>
      </w:pPr>
      <w:rPr>
        <w:rFonts w:hint="default"/>
      </w:rPr>
    </w:lvl>
    <w:lvl w:ilvl="2" w:tentative="0">
      <w:start w:val="1"/>
      <w:numFmt w:val="japaneseCounting"/>
      <w:lvlText w:val="%3、"/>
      <w:lvlJc w:val="left"/>
      <w:pPr>
        <w:ind w:left="1288" w:hanging="720"/>
      </w:pPr>
      <w:rPr>
        <w:rFonts w:hint="default"/>
      </w:rPr>
    </w:lvl>
    <w:lvl w:ilvl="3" w:tentative="0">
      <w:start w:val="1"/>
      <w:numFmt w:val="decimal"/>
      <w:lvlText w:val="(%4)"/>
      <w:lvlJc w:val="left"/>
      <w:pPr>
        <w:ind w:left="2844" w:hanging="1020"/>
      </w:pPr>
      <w:rPr>
        <w:rFonts w:hint="default"/>
      </w:rPr>
    </w:lvl>
    <w:lvl w:ilvl="4" w:tentative="0">
      <w:start w:val="1"/>
      <w:numFmt w:val="lowerLetter"/>
      <w:lvlText w:val="%5)"/>
      <w:lvlJc w:val="left"/>
      <w:pPr>
        <w:ind w:left="2664" w:hanging="420"/>
      </w:pPr>
    </w:lvl>
    <w:lvl w:ilvl="5" w:tentative="0">
      <w:start w:val="1"/>
      <w:numFmt w:val="lowerRoman"/>
      <w:lvlText w:val="%6."/>
      <w:lvlJc w:val="right"/>
      <w:pPr>
        <w:ind w:left="3084" w:hanging="420"/>
      </w:pPr>
    </w:lvl>
    <w:lvl w:ilvl="6" w:tentative="0">
      <w:start w:val="1"/>
      <w:numFmt w:val="decimal"/>
      <w:lvlText w:val="%7."/>
      <w:lvlJc w:val="left"/>
      <w:pPr>
        <w:ind w:left="3504" w:hanging="420"/>
      </w:pPr>
    </w:lvl>
    <w:lvl w:ilvl="7" w:tentative="0">
      <w:start w:val="1"/>
      <w:numFmt w:val="lowerLetter"/>
      <w:lvlText w:val="%8)"/>
      <w:lvlJc w:val="left"/>
      <w:pPr>
        <w:ind w:left="3924" w:hanging="420"/>
      </w:pPr>
    </w:lvl>
    <w:lvl w:ilvl="8" w:tentative="0">
      <w:start w:val="1"/>
      <w:numFmt w:val="lowerRoman"/>
      <w:lvlText w:val="%9."/>
      <w:lvlJc w:val="right"/>
      <w:pPr>
        <w:ind w:left="4344" w:hanging="420"/>
      </w:pPr>
    </w:lvl>
  </w:abstractNum>
  <w:abstractNum w:abstractNumId="2">
    <w:nsid w:val="2DAF1C73"/>
    <w:multiLevelType w:val="singleLevel"/>
    <w:tmpl w:val="2DAF1C73"/>
    <w:lvl w:ilvl="0" w:tentative="0">
      <w:start w:val="1"/>
      <w:numFmt w:val="decimal"/>
      <w:suff w:val="nothing"/>
      <w:lvlText w:val="%1、"/>
      <w:lvlJc w:val="left"/>
    </w:lvl>
  </w:abstractNum>
  <w:abstractNum w:abstractNumId="3">
    <w:nsid w:val="4385F975"/>
    <w:multiLevelType w:val="singleLevel"/>
    <w:tmpl w:val="4385F975"/>
    <w:lvl w:ilvl="0" w:tentative="0">
      <w:start w:val="1"/>
      <w:numFmt w:val="decimal"/>
      <w:suff w:val="nothing"/>
      <w:lvlText w:val="（%1）"/>
      <w:lvlJc w:val="left"/>
    </w:lvl>
  </w:abstractNum>
  <w:abstractNum w:abstractNumId="4">
    <w:nsid w:val="720C0801"/>
    <w:multiLevelType w:val="multilevel"/>
    <w:tmpl w:val="720C0801"/>
    <w:lvl w:ilvl="0" w:tentative="0">
      <w:start w:val="1"/>
      <w:numFmt w:val="decimal"/>
      <w:lvlText w:val="%1、"/>
      <w:lvlJc w:val="left"/>
      <w:pPr>
        <w:ind w:left="984" w:hanging="420"/>
      </w:pPr>
      <w:rPr>
        <w:rFonts w:hint="default"/>
      </w:rPr>
    </w:lvl>
    <w:lvl w:ilvl="1" w:tentative="0">
      <w:start w:val="1"/>
      <w:numFmt w:val="lowerLetter"/>
      <w:lvlText w:val="%2)"/>
      <w:lvlJc w:val="left"/>
      <w:pPr>
        <w:ind w:left="1404" w:hanging="420"/>
      </w:pPr>
    </w:lvl>
    <w:lvl w:ilvl="2" w:tentative="0">
      <w:start w:val="1"/>
      <w:numFmt w:val="lowerRoman"/>
      <w:lvlText w:val="%3."/>
      <w:lvlJc w:val="right"/>
      <w:pPr>
        <w:ind w:left="1824" w:hanging="420"/>
      </w:pPr>
    </w:lvl>
    <w:lvl w:ilvl="3" w:tentative="0">
      <w:start w:val="1"/>
      <w:numFmt w:val="decimal"/>
      <w:lvlText w:val="%4."/>
      <w:lvlJc w:val="left"/>
      <w:pPr>
        <w:ind w:left="2244" w:hanging="420"/>
      </w:pPr>
    </w:lvl>
    <w:lvl w:ilvl="4" w:tentative="0">
      <w:start w:val="1"/>
      <w:numFmt w:val="lowerLetter"/>
      <w:lvlText w:val="%5)"/>
      <w:lvlJc w:val="left"/>
      <w:pPr>
        <w:ind w:left="2664" w:hanging="420"/>
      </w:pPr>
    </w:lvl>
    <w:lvl w:ilvl="5" w:tentative="0">
      <w:start w:val="1"/>
      <w:numFmt w:val="lowerRoman"/>
      <w:lvlText w:val="%6."/>
      <w:lvlJc w:val="right"/>
      <w:pPr>
        <w:ind w:left="3084" w:hanging="420"/>
      </w:pPr>
    </w:lvl>
    <w:lvl w:ilvl="6" w:tentative="0">
      <w:start w:val="1"/>
      <w:numFmt w:val="decimal"/>
      <w:lvlText w:val="%7."/>
      <w:lvlJc w:val="left"/>
      <w:pPr>
        <w:ind w:left="3504" w:hanging="420"/>
      </w:pPr>
    </w:lvl>
    <w:lvl w:ilvl="7" w:tentative="0">
      <w:start w:val="1"/>
      <w:numFmt w:val="lowerLetter"/>
      <w:lvlText w:val="%8)"/>
      <w:lvlJc w:val="left"/>
      <w:pPr>
        <w:ind w:left="3924" w:hanging="420"/>
      </w:pPr>
    </w:lvl>
    <w:lvl w:ilvl="8" w:tentative="0">
      <w:start w:val="1"/>
      <w:numFmt w:val="lowerRoman"/>
      <w:lvlText w:val="%9."/>
      <w:lvlJc w:val="right"/>
      <w:pPr>
        <w:ind w:left="4344" w:hanging="42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08"/>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xNTFiMDMzMmVlZDc2M2M5NDdlYzM5MGNmMzYwMjkifQ=="/>
  </w:docVars>
  <w:rsids>
    <w:rsidRoot w:val="00172A27"/>
    <w:rsid w:val="00001660"/>
    <w:rsid w:val="00004B89"/>
    <w:rsid w:val="00013385"/>
    <w:rsid w:val="0001438F"/>
    <w:rsid w:val="00014483"/>
    <w:rsid w:val="00015AD4"/>
    <w:rsid w:val="000176E8"/>
    <w:rsid w:val="00021F2A"/>
    <w:rsid w:val="00022084"/>
    <w:rsid w:val="000222FA"/>
    <w:rsid w:val="0002293A"/>
    <w:rsid w:val="00023E17"/>
    <w:rsid w:val="000246A1"/>
    <w:rsid w:val="00024A16"/>
    <w:rsid w:val="00026E80"/>
    <w:rsid w:val="00030DE6"/>
    <w:rsid w:val="00031286"/>
    <w:rsid w:val="00031558"/>
    <w:rsid w:val="00032335"/>
    <w:rsid w:val="00032783"/>
    <w:rsid w:val="00035948"/>
    <w:rsid w:val="000408C4"/>
    <w:rsid w:val="00041FE4"/>
    <w:rsid w:val="000451F8"/>
    <w:rsid w:val="000462B4"/>
    <w:rsid w:val="00046697"/>
    <w:rsid w:val="0004677D"/>
    <w:rsid w:val="00047873"/>
    <w:rsid w:val="00050590"/>
    <w:rsid w:val="00051366"/>
    <w:rsid w:val="000523DF"/>
    <w:rsid w:val="000526C6"/>
    <w:rsid w:val="00052B12"/>
    <w:rsid w:val="00053337"/>
    <w:rsid w:val="00054BA4"/>
    <w:rsid w:val="00055034"/>
    <w:rsid w:val="00055C21"/>
    <w:rsid w:val="000567A9"/>
    <w:rsid w:val="00056979"/>
    <w:rsid w:val="00057397"/>
    <w:rsid w:val="00061464"/>
    <w:rsid w:val="0006243C"/>
    <w:rsid w:val="0006264C"/>
    <w:rsid w:val="000657E0"/>
    <w:rsid w:val="0006634F"/>
    <w:rsid w:val="0006738D"/>
    <w:rsid w:val="000727F2"/>
    <w:rsid w:val="000731F0"/>
    <w:rsid w:val="000739F4"/>
    <w:rsid w:val="00073B7E"/>
    <w:rsid w:val="00074138"/>
    <w:rsid w:val="000743DD"/>
    <w:rsid w:val="0007588A"/>
    <w:rsid w:val="00081A37"/>
    <w:rsid w:val="00081F9C"/>
    <w:rsid w:val="00082B75"/>
    <w:rsid w:val="000834B0"/>
    <w:rsid w:val="000839BF"/>
    <w:rsid w:val="00084183"/>
    <w:rsid w:val="0008602F"/>
    <w:rsid w:val="000867B4"/>
    <w:rsid w:val="00086A4E"/>
    <w:rsid w:val="00090600"/>
    <w:rsid w:val="00090A00"/>
    <w:rsid w:val="00092B4C"/>
    <w:rsid w:val="000932AA"/>
    <w:rsid w:val="00093ABA"/>
    <w:rsid w:val="000958DC"/>
    <w:rsid w:val="000962DA"/>
    <w:rsid w:val="000A1518"/>
    <w:rsid w:val="000A1D01"/>
    <w:rsid w:val="000A2A84"/>
    <w:rsid w:val="000A32C6"/>
    <w:rsid w:val="000A3D02"/>
    <w:rsid w:val="000A3D83"/>
    <w:rsid w:val="000A4196"/>
    <w:rsid w:val="000A42C7"/>
    <w:rsid w:val="000A4B2E"/>
    <w:rsid w:val="000A4EA5"/>
    <w:rsid w:val="000A7857"/>
    <w:rsid w:val="000B07DD"/>
    <w:rsid w:val="000B0E0C"/>
    <w:rsid w:val="000B0F4B"/>
    <w:rsid w:val="000B1C2C"/>
    <w:rsid w:val="000B58C4"/>
    <w:rsid w:val="000B7FD8"/>
    <w:rsid w:val="000C00DD"/>
    <w:rsid w:val="000C0146"/>
    <w:rsid w:val="000C22DB"/>
    <w:rsid w:val="000C2EFC"/>
    <w:rsid w:val="000C3B13"/>
    <w:rsid w:val="000C405E"/>
    <w:rsid w:val="000C4129"/>
    <w:rsid w:val="000C4762"/>
    <w:rsid w:val="000C562F"/>
    <w:rsid w:val="000C5D2D"/>
    <w:rsid w:val="000C5FC0"/>
    <w:rsid w:val="000D03B4"/>
    <w:rsid w:val="000D0F0A"/>
    <w:rsid w:val="000D1724"/>
    <w:rsid w:val="000D319D"/>
    <w:rsid w:val="000D4EFB"/>
    <w:rsid w:val="000D705A"/>
    <w:rsid w:val="000D710C"/>
    <w:rsid w:val="000E0A69"/>
    <w:rsid w:val="000E583C"/>
    <w:rsid w:val="000E6476"/>
    <w:rsid w:val="000E6CD7"/>
    <w:rsid w:val="000F422B"/>
    <w:rsid w:val="000F45A9"/>
    <w:rsid w:val="000F6854"/>
    <w:rsid w:val="00100B7D"/>
    <w:rsid w:val="00100C85"/>
    <w:rsid w:val="00100FCD"/>
    <w:rsid w:val="0010167E"/>
    <w:rsid w:val="00101CB5"/>
    <w:rsid w:val="001033D2"/>
    <w:rsid w:val="00105014"/>
    <w:rsid w:val="0010666F"/>
    <w:rsid w:val="001114EB"/>
    <w:rsid w:val="001116C7"/>
    <w:rsid w:val="00111F41"/>
    <w:rsid w:val="00114DE5"/>
    <w:rsid w:val="00114EBA"/>
    <w:rsid w:val="001150A5"/>
    <w:rsid w:val="001212C2"/>
    <w:rsid w:val="0012276E"/>
    <w:rsid w:val="001239E7"/>
    <w:rsid w:val="00123E53"/>
    <w:rsid w:val="00123FC0"/>
    <w:rsid w:val="00126265"/>
    <w:rsid w:val="00126D87"/>
    <w:rsid w:val="00131F14"/>
    <w:rsid w:val="001329EB"/>
    <w:rsid w:val="001345C8"/>
    <w:rsid w:val="0013590F"/>
    <w:rsid w:val="00136485"/>
    <w:rsid w:val="00136D53"/>
    <w:rsid w:val="00142470"/>
    <w:rsid w:val="0014425B"/>
    <w:rsid w:val="001451F2"/>
    <w:rsid w:val="001464DD"/>
    <w:rsid w:val="001500D3"/>
    <w:rsid w:val="00150BFF"/>
    <w:rsid w:val="00151441"/>
    <w:rsid w:val="00152074"/>
    <w:rsid w:val="00153D4C"/>
    <w:rsid w:val="0015550E"/>
    <w:rsid w:val="00156466"/>
    <w:rsid w:val="00156D44"/>
    <w:rsid w:val="001575FD"/>
    <w:rsid w:val="00161AEF"/>
    <w:rsid w:val="00162078"/>
    <w:rsid w:val="0016341A"/>
    <w:rsid w:val="001648CD"/>
    <w:rsid w:val="001652F8"/>
    <w:rsid w:val="00165833"/>
    <w:rsid w:val="00167ED2"/>
    <w:rsid w:val="00170C8C"/>
    <w:rsid w:val="001746B3"/>
    <w:rsid w:val="00175AEB"/>
    <w:rsid w:val="001763A5"/>
    <w:rsid w:val="001836F5"/>
    <w:rsid w:val="0018382C"/>
    <w:rsid w:val="0018390E"/>
    <w:rsid w:val="00183F9B"/>
    <w:rsid w:val="00185A39"/>
    <w:rsid w:val="00185F2C"/>
    <w:rsid w:val="00186A43"/>
    <w:rsid w:val="00186AEA"/>
    <w:rsid w:val="001876EA"/>
    <w:rsid w:val="00187C36"/>
    <w:rsid w:val="00187D88"/>
    <w:rsid w:val="0019037D"/>
    <w:rsid w:val="00193802"/>
    <w:rsid w:val="00193E56"/>
    <w:rsid w:val="001961BF"/>
    <w:rsid w:val="00196A94"/>
    <w:rsid w:val="00196B7A"/>
    <w:rsid w:val="001974BF"/>
    <w:rsid w:val="0019756E"/>
    <w:rsid w:val="001A0BE4"/>
    <w:rsid w:val="001A4D34"/>
    <w:rsid w:val="001A67F1"/>
    <w:rsid w:val="001A761A"/>
    <w:rsid w:val="001B053F"/>
    <w:rsid w:val="001B1F0F"/>
    <w:rsid w:val="001B22E9"/>
    <w:rsid w:val="001B334A"/>
    <w:rsid w:val="001B3E78"/>
    <w:rsid w:val="001B4B2D"/>
    <w:rsid w:val="001C2CAE"/>
    <w:rsid w:val="001C4A5B"/>
    <w:rsid w:val="001C5AF6"/>
    <w:rsid w:val="001D0F62"/>
    <w:rsid w:val="001D2331"/>
    <w:rsid w:val="001D3913"/>
    <w:rsid w:val="001E0521"/>
    <w:rsid w:val="001E0CB9"/>
    <w:rsid w:val="001E148C"/>
    <w:rsid w:val="001E3B05"/>
    <w:rsid w:val="001E5BB0"/>
    <w:rsid w:val="001E6EBF"/>
    <w:rsid w:val="001E6EC9"/>
    <w:rsid w:val="001E6EF9"/>
    <w:rsid w:val="001F035E"/>
    <w:rsid w:val="001F1E7D"/>
    <w:rsid w:val="001F2E29"/>
    <w:rsid w:val="001F492D"/>
    <w:rsid w:val="001F64F5"/>
    <w:rsid w:val="001F79FC"/>
    <w:rsid w:val="001F7DBD"/>
    <w:rsid w:val="00203068"/>
    <w:rsid w:val="00205336"/>
    <w:rsid w:val="00206D18"/>
    <w:rsid w:val="0021013C"/>
    <w:rsid w:val="002120D0"/>
    <w:rsid w:val="002125E6"/>
    <w:rsid w:val="00215638"/>
    <w:rsid w:val="0021668E"/>
    <w:rsid w:val="00220283"/>
    <w:rsid w:val="00224333"/>
    <w:rsid w:val="00224CDC"/>
    <w:rsid w:val="002270B2"/>
    <w:rsid w:val="00230304"/>
    <w:rsid w:val="00230D10"/>
    <w:rsid w:val="002320BC"/>
    <w:rsid w:val="002332EA"/>
    <w:rsid w:val="002342C9"/>
    <w:rsid w:val="00241AF6"/>
    <w:rsid w:val="00242277"/>
    <w:rsid w:val="00244015"/>
    <w:rsid w:val="0024529B"/>
    <w:rsid w:val="00245E6C"/>
    <w:rsid w:val="002470DA"/>
    <w:rsid w:val="0025006F"/>
    <w:rsid w:val="00250692"/>
    <w:rsid w:val="002509D0"/>
    <w:rsid w:val="002510B3"/>
    <w:rsid w:val="00252DDB"/>
    <w:rsid w:val="0025359C"/>
    <w:rsid w:val="00254D9A"/>
    <w:rsid w:val="002554B2"/>
    <w:rsid w:val="00255D4B"/>
    <w:rsid w:val="0025691D"/>
    <w:rsid w:val="00262A61"/>
    <w:rsid w:val="00263B9A"/>
    <w:rsid w:val="00265F18"/>
    <w:rsid w:val="002665C5"/>
    <w:rsid w:val="002703E3"/>
    <w:rsid w:val="00272326"/>
    <w:rsid w:val="0027252A"/>
    <w:rsid w:val="00277B58"/>
    <w:rsid w:val="00280D8F"/>
    <w:rsid w:val="00281347"/>
    <w:rsid w:val="002857AA"/>
    <w:rsid w:val="0029048E"/>
    <w:rsid w:val="00290AEB"/>
    <w:rsid w:val="00290B55"/>
    <w:rsid w:val="00291539"/>
    <w:rsid w:val="00292632"/>
    <w:rsid w:val="00294EBC"/>
    <w:rsid w:val="0029626C"/>
    <w:rsid w:val="00297B8B"/>
    <w:rsid w:val="002A0B7A"/>
    <w:rsid w:val="002A0C3D"/>
    <w:rsid w:val="002A0C82"/>
    <w:rsid w:val="002A1E56"/>
    <w:rsid w:val="002A4317"/>
    <w:rsid w:val="002A7D03"/>
    <w:rsid w:val="002B067F"/>
    <w:rsid w:val="002B06DF"/>
    <w:rsid w:val="002B3263"/>
    <w:rsid w:val="002B3FE9"/>
    <w:rsid w:val="002B4920"/>
    <w:rsid w:val="002B5EB0"/>
    <w:rsid w:val="002B6D25"/>
    <w:rsid w:val="002B7D1D"/>
    <w:rsid w:val="002C0169"/>
    <w:rsid w:val="002C0185"/>
    <w:rsid w:val="002C0964"/>
    <w:rsid w:val="002C2154"/>
    <w:rsid w:val="002C3905"/>
    <w:rsid w:val="002C67ED"/>
    <w:rsid w:val="002C7DDE"/>
    <w:rsid w:val="002D2A3C"/>
    <w:rsid w:val="002D44CE"/>
    <w:rsid w:val="002D5D7E"/>
    <w:rsid w:val="002D6435"/>
    <w:rsid w:val="002D73AE"/>
    <w:rsid w:val="002E1456"/>
    <w:rsid w:val="002E2016"/>
    <w:rsid w:val="002E372F"/>
    <w:rsid w:val="002E38A1"/>
    <w:rsid w:val="002E53EC"/>
    <w:rsid w:val="002E7B45"/>
    <w:rsid w:val="002F0D48"/>
    <w:rsid w:val="002F3919"/>
    <w:rsid w:val="002F5A38"/>
    <w:rsid w:val="002F797B"/>
    <w:rsid w:val="00302602"/>
    <w:rsid w:val="0030262F"/>
    <w:rsid w:val="00303C8B"/>
    <w:rsid w:val="00306772"/>
    <w:rsid w:val="00306A59"/>
    <w:rsid w:val="00306EED"/>
    <w:rsid w:val="00306F89"/>
    <w:rsid w:val="00311669"/>
    <w:rsid w:val="0031253B"/>
    <w:rsid w:val="00314009"/>
    <w:rsid w:val="00315A72"/>
    <w:rsid w:val="0031795E"/>
    <w:rsid w:val="00321BCE"/>
    <w:rsid w:val="003230A0"/>
    <w:rsid w:val="00323546"/>
    <w:rsid w:val="0032451F"/>
    <w:rsid w:val="003245A1"/>
    <w:rsid w:val="00327B03"/>
    <w:rsid w:val="00331FC6"/>
    <w:rsid w:val="0033261E"/>
    <w:rsid w:val="003331D2"/>
    <w:rsid w:val="00334A11"/>
    <w:rsid w:val="00335BD1"/>
    <w:rsid w:val="003419CA"/>
    <w:rsid w:val="00342078"/>
    <w:rsid w:val="00343E79"/>
    <w:rsid w:val="00346A47"/>
    <w:rsid w:val="0035067D"/>
    <w:rsid w:val="00351E9C"/>
    <w:rsid w:val="00352BE5"/>
    <w:rsid w:val="003534C0"/>
    <w:rsid w:val="00354318"/>
    <w:rsid w:val="00354A64"/>
    <w:rsid w:val="00354A79"/>
    <w:rsid w:val="00355FC0"/>
    <w:rsid w:val="00356142"/>
    <w:rsid w:val="00356AD1"/>
    <w:rsid w:val="00361262"/>
    <w:rsid w:val="00361C9E"/>
    <w:rsid w:val="00364647"/>
    <w:rsid w:val="0037029D"/>
    <w:rsid w:val="00370C8A"/>
    <w:rsid w:val="0037288F"/>
    <w:rsid w:val="00372E53"/>
    <w:rsid w:val="00373951"/>
    <w:rsid w:val="0037405F"/>
    <w:rsid w:val="00375F76"/>
    <w:rsid w:val="0037714C"/>
    <w:rsid w:val="00381E2B"/>
    <w:rsid w:val="00382A01"/>
    <w:rsid w:val="00383BFA"/>
    <w:rsid w:val="00384FE6"/>
    <w:rsid w:val="003851CE"/>
    <w:rsid w:val="00386948"/>
    <w:rsid w:val="003924E0"/>
    <w:rsid w:val="00394101"/>
    <w:rsid w:val="00395323"/>
    <w:rsid w:val="00395A66"/>
    <w:rsid w:val="0039654A"/>
    <w:rsid w:val="0039658A"/>
    <w:rsid w:val="00396685"/>
    <w:rsid w:val="003A44B1"/>
    <w:rsid w:val="003B035C"/>
    <w:rsid w:val="003B07A2"/>
    <w:rsid w:val="003B0FE8"/>
    <w:rsid w:val="003B1AB5"/>
    <w:rsid w:val="003B1E98"/>
    <w:rsid w:val="003B22D9"/>
    <w:rsid w:val="003B3290"/>
    <w:rsid w:val="003B3755"/>
    <w:rsid w:val="003B4511"/>
    <w:rsid w:val="003B4C27"/>
    <w:rsid w:val="003B6F87"/>
    <w:rsid w:val="003C0054"/>
    <w:rsid w:val="003C0851"/>
    <w:rsid w:val="003C14AB"/>
    <w:rsid w:val="003C1E7C"/>
    <w:rsid w:val="003C668B"/>
    <w:rsid w:val="003D1437"/>
    <w:rsid w:val="003D3B7C"/>
    <w:rsid w:val="003D629B"/>
    <w:rsid w:val="003D6FFA"/>
    <w:rsid w:val="003E35F5"/>
    <w:rsid w:val="003E44CB"/>
    <w:rsid w:val="003F2938"/>
    <w:rsid w:val="003F4247"/>
    <w:rsid w:val="003F4F88"/>
    <w:rsid w:val="003F7462"/>
    <w:rsid w:val="00400273"/>
    <w:rsid w:val="00400415"/>
    <w:rsid w:val="00400F8F"/>
    <w:rsid w:val="00401075"/>
    <w:rsid w:val="00403397"/>
    <w:rsid w:val="00404202"/>
    <w:rsid w:val="00405597"/>
    <w:rsid w:val="004056A0"/>
    <w:rsid w:val="00406C2F"/>
    <w:rsid w:val="004071DA"/>
    <w:rsid w:val="0041210C"/>
    <w:rsid w:val="00420862"/>
    <w:rsid w:val="00420880"/>
    <w:rsid w:val="00421009"/>
    <w:rsid w:val="004233F9"/>
    <w:rsid w:val="0042372A"/>
    <w:rsid w:val="004259A8"/>
    <w:rsid w:val="00425ACB"/>
    <w:rsid w:val="00425E38"/>
    <w:rsid w:val="00427793"/>
    <w:rsid w:val="004277FA"/>
    <w:rsid w:val="00430020"/>
    <w:rsid w:val="00433F6E"/>
    <w:rsid w:val="004347BF"/>
    <w:rsid w:val="00434EDB"/>
    <w:rsid w:val="00436108"/>
    <w:rsid w:val="004368E1"/>
    <w:rsid w:val="00436A1E"/>
    <w:rsid w:val="00437349"/>
    <w:rsid w:val="00437F68"/>
    <w:rsid w:val="00440010"/>
    <w:rsid w:val="00441691"/>
    <w:rsid w:val="00442203"/>
    <w:rsid w:val="004440D6"/>
    <w:rsid w:val="0044451B"/>
    <w:rsid w:val="00446C23"/>
    <w:rsid w:val="00447598"/>
    <w:rsid w:val="00447F5D"/>
    <w:rsid w:val="00451934"/>
    <w:rsid w:val="004522CD"/>
    <w:rsid w:val="00453DA2"/>
    <w:rsid w:val="00454103"/>
    <w:rsid w:val="004569C9"/>
    <w:rsid w:val="00457964"/>
    <w:rsid w:val="0046145B"/>
    <w:rsid w:val="004643AF"/>
    <w:rsid w:val="00464C62"/>
    <w:rsid w:val="00465A54"/>
    <w:rsid w:val="004677D8"/>
    <w:rsid w:val="00471DD8"/>
    <w:rsid w:val="00472927"/>
    <w:rsid w:val="00474121"/>
    <w:rsid w:val="004746B7"/>
    <w:rsid w:val="00474A2F"/>
    <w:rsid w:val="004753B1"/>
    <w:rsid w:val="00476556"/>
    <w:rsid w:val="004837E8"/>
    <w:rsid w:val="00484A3D"/>
    <w:rsid w:val="0048581D"/>
    <w:rsid w:val="004859C3"/>
    <w:rsid w:val="00485EDF"/>
    <w:rsid w:val="00490A1F"/>
    <w:rsid w:val="004924E2"/>
    <w:rsid w:val="0049282E"/>
    <w:rsid w:val="0049425B"/>
    <w:rsid w:val="00494369"/>
    <w:rsid w:val="004967DA"/>
    <w:rsid w:val="004A0510"/>
    <w:rsid w:val="004A11B8"/>
    <w:rsid w:val="004A2B4F"/>
    <w:rsid w:val="004A6596"/>
    <w:rsid w:val="004A7ED0"/>
    <w:rsid w:val="004B1CB6"/>
    <w:rsid w:val="004B2E17"/>
    <w:rsid w:val="004B31F5"/>
    <w:rsid w:val="004B42C6"/>
    <w:rsid w:val="004B46E7"/>
    <w:rsid w:val="004B48CF"/>
    <w:rsid w:val="004B4E67"/>
    <w:rsid w:val="004B56B6"/>
    <w:rsid w:val="004B58B4"/>
    <w:rsid w:val="004B7913"/>
    <w:rsid w:val="004B7CD4"/>
    <w:rsid w:val="004C1A76"/>
    <w:rsid w:val="004C2D18"/>
    <w:rsid w:val="004C3CC5"/>
    <w:rsid w:val="004D17B5"/>
    <w:rsid w:val="004D1CAF"/>
    <w:rsid w:val="004D1D4C"/>
    <w:rsid w:val="004D2D2B"/>
    <w:rsid w:val="004D438D"/>
    <w:rsid w:val="004D6AA0"/>
    <w:rsid w:val="004D6EA3"/>
    <w:rsid w:val="004D7C5A"/>
    <w:rsid w:val="004E095F"/>
    <w:rsid w:val="004E0DC1"/>
    <w:rsid w:val="004E2BA2"/>
    <w:rsid w:val="004E3AD2"/>
    <w:rsid w:val="004E4ECE"/>
    <w:rsid w:val="004E77BC"/>
    <w:rsid w:val="004E7C5E"/>
    <w:rsid w:val="004F053A"/>
    <w:rsid w:val="004F2BA1"/>
    <w:rsid w:val="004F6640"/>
    <w:rsid w:val="004F6D0A"/>
    <w:rsid w:val="00500450"/>
    <w:rsid w:val="005023EE"/>
    <w:rsid w:val="00503CA8"/>
    <w:rsid w:val="0051137A"/>
    <w:rsid w:val="00511759"/>
    <w:rsid w:val="00512F35"/>
    <w:rsid w:val="00515F84"/>
    <w:rsid w:val="00516884"/>
    <w:rsid w:val="00516E92"/>
    <w:rsid w:val="0051796C"/>
    <w:rsid w:val="0052149F"/>
    <w:rsid w:val="005234C2"/>
    <w:rsid w:val="00523933"/>
    <w:rsid w:val="00524715"/>
    <w:rsid w:val="005275DB"/>
    <w:rsid w:val="00534655"/>
    <w:rsid w:val="0053654A"/>
    <w:rsid w:val="005379D8"/>
    <w:rsid w:val="00537DFF"/>
    <w:rsid w:val="005437F7"/>
    <w:rsid w:val="0054439D"/>
    <w:rsid w:val="005455D7"/>
    <w:rsid w:val="0054613F"/>
    <w:rsid w:val="00546F02"/>
    <w:rsid w:val="0054726C"/>
    <w:rsid w:val="00547477"/>
    <w:rsid w:val="00550637"/>
    <w:rsid w:val="00550C15"/>
    <w:rsid w:val="00551E54"/>
    <w:rsid w:val="00552A5B"/>
    <w:rsid w:val="00553A9F"/>
    <w:rsid w:val="00555666"/>
    <w:rsid w:val="005557AE"/>
    <w:rsid w:val="0055769A"/>
    <w:rsid w:val="005603D7"/>
    <w:rsid w:val="00560776"/>
    <w:rsid w:val="005651F2"/>
    <w:rsid w:val="00566BF2"/>
    <w:rsid w:val="00566C37"/>
    <w:rsid w:val="00567FBF"/>
    <w:rsid w:val="0057020D"/>
    <w:rsid w:val="005710B2"/>
    <w:rsid w:val="005715A3"/>
    <w:rsid w:val="005758DC"/>
    <w:rsid w:val="00575EC8"/>
    <w:rsid w:val="005770E1"/>
    <w:rsid w:val="00577D3B"/>
    <w:rsid w:val="00583ED8"/>
    <w:rsid w:val="00585C10"/>
    <w:rsid w:val="00585D18"/>
    <w:rsid w:val="00586DE8"/>
    <w:rsid w:val="005873E6"/>
    <w:rsid w:val="005876D8"/>
    <w:rsid w:val="00590091"/>
    <w:rsid w:val="00591013"/>
    <w:rsid w:val="0059168E"/>
    <w:rsid w:val="00591E80"/>
    <w:rsid w:val="00594C46"/>
    <w:rsid w:val="0059553F"/>
    <w:rsid w:val="00595B7E"/>
    <w:rsid w:val="005A6B6C"/>
    <w:rsid w:val="005B0EA2"/>
    <w:rsid w:val="005B3818"/>
    <w:rsid w:val="005B4B72"/>
    <w:rsid w:val="005B52B1"/>
    <w:rsid w:val="005B5AEB"/>
    <w:rsid w:val="005C08FA"/>
    <w:rsid w:val="005C10F2"/>
    <w:rsid w:val="005C3E17"/>
    <w:rsid w:val="005D1258"/>
    <w:rsid w:val="005D3DE5"/>
    <w:rsid w:val="005D691C"/>
    <w:rsid w:val="005D72BC"/>
    <w:rsid w:val="005D7BAC"/>
    <w:rsid w:val="005E0927"/>
    <w:rsid w:val="005E0EB8"/>
    <w:rsid w:val="005E1042"/>
    <w:rsid w:val="005E290B"/>
    <w:rsid w:val="005E61DB"/>
    <w:rsid w:val="005E6ED3"/>
    <w:rsid w:val="005F038E"/>
    <w:rsid w:val="005F28F4"/>
    <w:rsid w:val="005F39AC"/>
    <w:rsid w:val="005F6B77"/>
    <w:rsid w:val="006003EE"/>
    <w:rsid w:val="00605136"/>
    <w:rsid w:val="0060560B"/>
    <w:rsid w:val="00606299"/>
    <w:rsid w:val="006063A3"/>
    <w:rsid w:val="00606464"/>
    <w:rsid w:val="00606E5C"/>
    <w:rsid w:val="0060753A"/>
    <w:rsid w:val="00610DCC"/>
    <w:rsid w:val="006120A9"/>
    <w:rsid w:val="00612C9E"/>
    <w:rsid w:val="00614B06"/>
    <w:rsid w:val="00614DE1"/>
    <w:rsid w:val="006169D0"/>
    <w:rsid w:val="00616C8F"/>
    <w:rsid w:val="00616EAA"/>
    <w:rsid w:val="0062060B"/>
    <w:rsid w:val="00621870"/>
    <w:rsid w:val="00626234"/>
    <w:rsid w:val="00627813"/>
    <w:rsid w:val="00630CE7"/>
    <w:rsid w:val="00632262"/>
    <w:rsid w:val="00633FA7"/>
    <w:rsid w:val="006345DE"/>
    <w:rsid w:val="00635F76"/>
    <w:rsid w:val="00635FD8"/>
    <w:rsid w:val="00643045"/>
    <w:rsid w:val="0064574D"/>
    <w:rsid w:val="00645C78"/>
    <w:rsid w:val="00646470"/>
    <w:rsid w:val="00646570"/>
    <w:rsid w:val="00650EC4"/>
    <w:rsid w:val="00652426"/>
    <w:rsid w:val="0065519A"/>
    <w:rsid w:val="0065793E"/>
    <w:rsid w:val="006622F0"/>
    <w:rsid w:val="00662776"/>
    <w:rsid w:val="00665609"/>
    <w:rsid w:val="006666FB"/>
    <w:rsid w:val="00666797"/>
    <w:rsid w:val="00666D76"/>
    <w:rsid w:val="0066748C"/>
    <w:rsid w:val="0066780A"/>
    <w:rsid w:val="00667F67"/>
    <w:rsid w:val="006708E4"/>
    <w:rsid w:val="00670BD0"/>
    <w:rsid w:val="006733AC"/>
    <w:rsid w:val="006738C0"/>
    <w:rsid w:val="006747D0"/>
    <w:rsid w:val="00676BDE"/>
    <w:rsid w:val="00677EB4"/>
    <w:rsid w:val="00680E92"/>
    <w:rsid w:val="00680F34"/>
    <w:rsid w:val="006815B2"/>
    <w:rsid w:val="00682060"/>
    <w:rsid w:val="006820AD"/>
    <w:rsid w:val="006825D3"/>
    <w:rsid w:val="006826F0"/>
    <w:rsid w:val="00682A5F"/>
    <w:rsid w:val="00682AC8"/>
    <w:rsid w:val="00682BF1"/>
    <w:rsid w:val="00683B04"/>
    <w:rsid w:val="0068510B"/>
    <w:rsid w:val="00687E71"/>
    <w:rsid w:val="00690343"/>
    <w:rsid w:val="00693EA5"/>
    <w:rsid w:val="006959B9"/>
    <w:rsid w:val="00695A3E"/>
    <w:rsid w:val="006A0565"/>
    <w:rsid w:val="006A0C8E"/>
    <w:rsid w:val="006A357E"/>
    <w:rsid w:val="006A45A1"/>
    <w:rsid w:val="006A4E33"/>
    <w:rsid w:val="006A6791"/>
    <w:rsid w:val="006A7FB3"/>
    <w:rsid w:val="006A7FB6"/>
    <w:rsid w:val="006B3179"/>
    <w:rsid w:val="006B3693"/>
    <w:rsid w:val="006B43B6"/>
    <w:rsid w:val="006B6634"/>
    <w:rsid w:val="006B728F"/>
    <w:rsid w:val="006B7390"/>
    <w:rsid w:val="006B73C5"/>
    <w:rsid w:val="006B791C"/>
    <w:rsid w:val="006C2713"/>
    <w:rsid w:val="006C28C6"/>
    <w:rsid w:val="006C34E1"/>
    <w:rsid w:val="006C434D"/>
    <w:rsid w:val="006C5CD3"/>
    <w:rsid w:val="006C5DBB"/>
    <w:rsid w:val="006D1852"/>
    <w:rsid w:val="006D2D0E"/>
    <w:rsid w:val="006D3808"/>
    <w:rsid w:val="006D4E10"/>
    <w:rsid w:val="006D539E"/>
    <w:rsid w:val="006D73C5"/>
    <w:rsid w:val="006D7AEE"/>
    <w:rsid w:val="006E0F4A"/>
    <w:rsid w:val="006E1B6F"/>
    <w:rsid w:val="006E280B"/>
    <w:rsid w:val="006E3610"/>
    <w:rsid w:val="006E3819"/>
    <w:rsid w:val="006E3977"/>
    <w:rsid w:val="006E3EA3"/>
    <w:rsid w:val="006E57C3"/>
    <w:rsid w:val="006E5B7C"/>
    <w:rsid w:val="006E6C7E"/>
    <w:rsid w:val="006E7778"/>
    <w:rsid w:val="006F19FC"/>
    <w:rsid w:val="006F6F4D"/>
    <w:rsid w:val="006F72D9"/>
    <w:rsid w:val="006F74F3"/>
    <w:rsid w:val="00703E8A"/>
    <w:rsid w:val="00706597"/>
    <w:rsid w:val="007068BA"/>
    <w:rsid w:val="00707B59"/>
    <w:rsid w:val="00710A76"/>
    <w:rsid w:val="0071161C"/>
    <w:rsid w:val="00716115"/>
    <w:rsid w:val="00716B69"/>
    <w:rsid w:val="00721582"/>
    <w:rsid w:val="00721914"/>
    <w:rsid w:val="007236E6"/>
    <w:rsid w:val="0072427E"/>
    <w:rsid w:val="0073057D"/>
    <w:rsid w:val="00730609"/>
    <w:rsid w:val="00731DA2"/>
    <w:rsid w:val="0073276D"/>
    <w:rsid w:val="00734122"/>
    <w:rsid w:val="007352A4"/>
    <w:rsid w:val="00736FE3"/>
    <w:rsid w:val="00737F15"/>
    <w:rsid w:val="0074082A"/>
    <w:rsid w:val="007423F5"/>
    <w:rsid w:val="00742877"/>
    <w:rsid w:val="0074393D"/>
    <w:rsid w:val="00743991"/>
    <w:rsid w:val="00746AD4"/>
    <w:rsid w:val="00750B7E"/>
    <w:rsid w:val="007515C4"/>
    <w:rsid w:val="007522B7"/>
    <w:rsid w:val="0075277D"/>
    <w:rsid w:val="007540CC"/>
    <w:rsid w:val="00755A08"/>
    <w:rsid w:val="00756231"/>
    <w:rsid w:val="00757287"/>
    <w:rsid w:val="00757D3C"/>
    <w:rsid w:val="007604E9"/>
    <w:rsid w:val="00762466"/>
    <w:rsid w:val="00763F24"/>
    <w:rsid w:val="00764146"/>
    <w:rsid w:val="007646F7"/>
    <w:rsid w:val="00764BF3"/>
    <w:rsid w:val="0076635D"/>
    <w:rsid w:val="007663CC"/>
    <w:rsid w:val="00766C89"/>
    <w:rsid w:val="00766D98"/>
    <w:rsid w:val="007673B6"/>
    <w:rsid w:val="007707AA"/>
    <w:rsid w:val="00774962"/>
    <w:rsid w:val="00775F64"/>
    <w:rsid w:val="00776970"/>
    <w:rsid w:val="00777FC5"/>
    <w:rsid w:val="00780DCA"/>
    <w:rsid w:val="00781660"/>
    <w:rsid w:val="007818C9"/>
    <w:rsid w:val="00782920"/>
    <w:rsid w:val="007865E1"/>
    <w:rsid w:val="007866F2"/>
    <w:rsid w:val="00790706"/>
    <w:rsid w:val="007A009E"/>
    <w:rsid w:val="007A01F7"/>
    <w:rsid w:val="007A0F8C"/>
    <w:rsid w:val="007A13C0"/>
    <w:rsid w:val="007A4490"/>
    <w:rsid w:val="007A4EE5"/>
    <w:rsid w:val="007A4F56"/>
    <w:rsid w:val="007A7069"/>
    <w:rsid w:val="007A70D1"/>
    <w:rsid w:val="007A7526"/>
    <w:rsid w:val="007A7C36"/>
    <w:rsid w:val="007B100D"/>
    <w:rsid w:val="007B1854"/>
    <w:rsid w:val="007B283B"/>
    <w:rsid w:val="007B2F12"/>
    <w:rsid w:val="007B5FA8"/>
    <w:rsid w:val="007B6900"/>
    <w:rsid w:val="007B7884"/>
    <w:rsid w:val="007C0294"/>
    <w:rsid w:val="007C12CC"/>
    <w:rsid w:val="007C3B0F"/>
    <w:rsid w:val="007C44D9"/>
    <w:rsid w:val="007C54F1"/>
    <w:rsid w:val="007C563E"/>
    <w:rsid w:val="007C6221"/>
    <w:rsid w:val="007D39E5"/>
    <w:rsid w:val="007D425A"/>
    <w:rsid w:val="007D54E9"/>
    <w:rsid w:val="007D5A19"/>
    <w:rsid w:val="007E193D"/>
    <w:rsid w:val="007E31A6"/>
    <w:rsid w:val="007E37B8"/>
    <w:rsid w:val="007E4F90"/>
    <w:rsid w:val="007F00ED"/>
    <w:rsid w:val="007F2474"/>
    <w:rsid w:val="007F5FAD"/>
    <w:rsid w:val="007F620C"/>
    <w:rsid w:val="008004E8"/>
    <w:rsid w:val="00801B05"/>
    <w:rsid w:val="008025D3"/>
    <w:rsid w:val="00802F6E"/>
    <w:rsid w:val="00803302"/>
    <w:rsid w:val="00807A32"/>
    <w:rsid w:val="00807BB1"/>
    <w:rsid w:val="008102C8"/>
    <w:rsid w:val="00810C97"/>
    <w:rsid w:val="008127C3"/>
    <w:rsid w:val="008134EF"/>
    <w:rsid w:val="008139F7"/>
    <w:rsid w:val="00813B77"/>
    <w:rsid w:val="008159D7"/>
    <w:rsid w:val="00816AC0"/>
    <w:rsid w:val="0081715B"/>
    <w:rsid w:val="00817C5D"/>
    <w:rsid w:val="00817D26"/>
    <w:rsid w:val="00817F70"/>
    <w:rsid w:val="00821A14"/>
    <w:rsid w:val="00821FBB"/>
    <w:rsid w:val="008265AD"/>
    <w:rsid w:val="008266FA"/>
    <w:rsid w:val="00830484"/>
    <w:rsid w:val="00830A98"/>
    <w:rsid w:val="00831330"/>
    <w:rsid w:val="00831AF4"/>
    <w:rsid w:val="00835E74"/>
    <w:rsid w:val="008373DB"/>
    <w:rsid w:val="00840B26"/>
    <w:rsid w:val="00840D1C"/>
    <w:rsid w:val="00841CA6"/>
    <w:rsid w:val="00843A50"/>
    <w:rsid w:val="00843C8D"/>
    <w:rsid w:val="00844361"/>
    <w:rsid w:val="00845524"/>
    <w:rsid w:val="00847236"/>
    <w:rsid w:val="008510BC"/>
    <w:rsid w:val="00851335"/>
    <w:rsid w:val="00851D92"/>
    <w:rsid w:val="00852BC0"/>
    <w:rsid w:val="00852E08"/>
    <w:rsid w:val="00855B24"/>
    <w:rsid w:val="00857EA5"/>
    <w:rsid w:val="00861525"/>
    <w:rsid w:val="00863B9D"/>
    <w:rsid w:val="00865464"/>
    <w:rsid w:val="0087069A"/>
    <w:rsid w:val="008708ED"/>
    <w:rsid w:val="0087135D"/>
    <w:rsid w:val="00874451"/>
    <w:rsid w:val="00875714"/>
    <w:rsid w:val="00877038"/>
    <w:rsid w:val="00882E0C"/>
    <w:rsid w:val="008834FA"/>
    <w:rsid w:val="00885488"/>
    <w:rsid w:val="00887A37"/>
    <w:rsid w:val="008944AF"/>
    <w:rsid w:val="0089587E"/>
    <w:rsid w:val="008970D5"/>
    <w:rsid w:val="00897B8F"/>
    <w:rsid w:val="008A0B92"/>
    <w:rsid w:val="008A1079"/>
    <w:rsid w:val="008A1875"/>
    <w:rsid w:val="008A3B23"/>
    <w:rsid w:val="008A3E63"/>
    <w:rsid w:val="008A4078"/>
    <w:rsid w:val="008A51A9"/>
    <w:rsid w:val="008B0085"/>
    <w:rsid w:val="008B2B51"/>
    <w:rsid w:val="008B346E"/>
    <w:rsid w:val="008B4E2A"/>
    <w:rsid w:val="008B5136"/>
    <w:rsid w:val="008B68FD"/>
    <w:rsid w:val="008C2E09"/>
    <w:rsid w:val="008C32D0"/>
    <w:rsid w:val="008C3677"/>
    <w:rsid w:val="008C3970"/>
    <w:rsid w:val="008C48F8"/>
    <w:rsid w:val="008D3C61"/>
    <w:rsid w:val="008D4DE9"/>
    <w:rsid w:val="008D6485"/>
    <w:rsid w:val="008D706D"/>
    <w:rsid w:val="008E1ADA"/>
    <w:rsid w:val="008E1C35"/>
    <w:rsid w:val="008E2427"/>
    <w:rsid w:val="008E46ED"/>
    <w:rsid w:val="008E5112"/>
    <w:rsid w:val="008E512D"/>
    <w:rsid w:val="008E5891"/>
    <w:rsid w:val="008E5F09"/>
    <w:rsid w:val="008F1A08"/>
    <w:rsid w:val="008F1DDA"/>
    <w:rsid w:val="008F2108"/>
    <w:rsid w:val="008F39B8"/>
    <w:rsid w:val="008F6B8B"/>
    <w:rsid w:val="00901748"/>
    <w:rsid w:val="009018E5"/>
    <w:rsid w:val="009019CF"/>
    <w:rsid w:val="00901C1E"/>
    <w:rsid w:val="00902CF4"/>
    <w:rsid w:val="0090478A"/>
    <w:rsid w:val="009056D3"/>
    <w:rsid w:val="00905841"/>
    <w:rsid w:val="00907D77"/>
    <w:rsid w:val="00910F99"/>
    <w:rsid w:val="00914BDD"/>
    <w:rsid w:val="00916557"/>
    <w:rsid w:val="0091761E"/>
    <w:rsid w:val="00920FF1"/>
    <w:rsid w:val="00921695"/>
    <w:rsid w:val="009221E3"/>
    <w:rsid w:val="0092358B"/>
    <w:rsid w:val="009235E0"/>
    <w:rsid w:val="00924A8B"/>
    <w:rsid w:val="0092521F"/>
    <w:rsid w:val="0092555F"/>
    <w:rsid w:val="00926E97"/>
    <w:rsid w:val="0092700A"/>
    <w:rsid w:val="00927144"/>
    <w:rsid w:val="009306D2"/>
    <w:rsid w:val="00931F6A"/>
    <w:rsid w:val="00932A46"/>
    <w:rsid w:val="00933D99"/>
    <w:rsid w:val="009346ED"/>
    <w:rsid w:val="00935053"/>
    <w:rsid w:val="0093520D"/>
    <w:rsid w:val="0093790A"/>
    <w:rsid w:val="009417EE"/>
    <w:rsid w:val="00945A9B"/>
    <w:rsid w:val="00951C0F"/>
    <w:rsid w:val="00954A78"/>
    <w:rsid w:val="009618EC"/>
    <w:rsid w:val="00961BBD"/>
    <w:rsid w:val="0096295D"/>
    <w:rsid w:val="00964479"/>
    <w:rsid w:val="00966E0E"/>
    <w:rsid w:val="0097195D"/>
    <w:rsid w:val="009721A4"/>
    <w:rsid w:val="00972975"/>
    <w:rsid w:val="00973FEF"/>
    <w:rsid w:val="009752EE"/>
    <w:rsid w:val="00977F1D"/>
    <w:rsid w:val="00980F49"/>
    <w:rsid w:val="0098255F"/>
    <w:rsid w:val="0098261E"/>
    <w:rsid w:val="00982994"/>
    <w:rsid w:val="009844F8"/>
    <w:rsid w:val="0098675D"/>
    <w:rsid w:val="00987223"/>
    <w:rsid w:val="00987F3D"/>
    <w:rsid w:val="00990E2B"/>
    <w:rsid w:val="0099514C"/>
    <w:rsid w:val="00996CE3"/>
    <w:rsid w:val="00996F0B"/>
    <w:rsid w:val="009A07C7"/>
    <w:rsid w:val="009A0958"/>
    <w:rsid w:val="009A1FE1"/>
    <w:rsid w:val="009A4BD5"/>
    <w:rsid w:val="009A4F79"/>
    <w:rsid w:val="009A5259"/>
    <w:rsid w:val="009A636B"/>
    <w:rsid w:val="009A6CC8"/>
    <w:rsid w:val="009A7416"/>
    <w:rsid w:val="009B520F"/>
    <w:rsid w:val="009B5C76"/>
    <w:rsid w:val="009B6998"/>
    <w:rsid w:val="009C17E0"/>
    <w:rsid w:val="009C21A8"/>
    <w:rsid w:val="009C58FC"/>
    <w:rsid w:val="009D004A"/>
    <w:rsid w:val="009D0197"/>
    <w:rsid w:val="009D19AE"/>
    <w:rsid w:val="009D1FA3"/>
    <w:rsid w:val="009D2805"/>
    <w:rsid w:val="009D3609"/>
    <w:rsid w:val="009D7994"/>
    <w:rsid w:val="009E1712"/>
    <w:rsid w:val="009E3963"/>
    <w:rsid w:val="009E46B1"/>
    <w:rsid w:val="009E7AD9"/>
    <w:rsid w:val="009F1FFE"/>
    <w:rsid w:val="009F31B2"/>
    <w:rsid w:val="009F60DF"/>
    <w:rsid w:val="00A01CAF"/>
    <w:rsid w:val="00A030EA"/>
    <w:rsid w:val="00A04C2D"/>
    <w:rsid w:val="00A04DCF"/>
    <w:rsid w:val="00A066BF"/>
    <w:rsid w:val="00A075EF"/>
    <w:rsid w:val="00A0776C"/>
    <w:rsid w:val="00A100BF"/>
    <w:rsid w:val="00A1253B"/>
    <w:rsid w:val="00A130E7"/>
    <w:rsid w:val="00A17860"/>
    <w:rsid w:val="00A21609"/>
    <w:rsid w:val="00A22389"/>
    <w:rsid w:val="00A24090"/>
    <w:rsid w:val="00A25B97"/>
    <w:rsid w:val="00A25BBF"/>
    <w:rsid w:val="00A3179E"/>
    <w:rsid w:val="00A33051"/>
    <w:rsid w:val="00A331CA"/>
    <w:rsid w:val="00A33805"/>
    <w:rsid w:val="00A34DB9"/>
    <w:rsid w:val="00A3546D"/>
    <w:rsid w:val="00A35DEB"/>
    <w:rsid w:val="00A365D7"/>
    <w:rsid w:val="00A36A79"/>
    <w:rsid w:val="00A36E24"/>
    <w:rsid w:val="00A3709F"/>
    <w:rsid w:val="00A3731C"/>
    <w:rsid w:val="00A3757E"/>
    <w:rsid w:val="00A40262"/>
    <w:rsid w:val="00A40333"/>
    <w:rsid w:val="00A40BCF"/>
    <w:rsid w:val="00A40FA5"/>
    <w:rsid w:val="00A42979"/>
    <w:rsid w:val="00A42BBA"/>
    <w:rsid w:val="00A450A0"/>
    <w:rsid w:val="00A4520A"/>
    <w:rsid w:val="00A46D08"/>
    <w:rsid w:val="00A47CB3"/>
    <w:rsid w:val="00A51A79"/>
    <w:rsid w:val="00A53021"/>
    <w:rsid w:val="00A53A2C"/>
    <w:rsid w:val="00A55909"/>
    <w:rsid w:val="00A56417"/>
    <w:rsid w:val="00A57448"/>
    <w:rsid w:val="00A65E47"/>
    <w:rsid w:val="00A66011"/>
    <w:rsid w:val="00A67908"/>
    <w:rsid w:val="00A708C8"/>
    <w:rsid w:val="00A70FA9"/>
    <w:rsid w:val="00A71F21"/>
    <w:rsid w:val="00A71F44"/>
    <w:rsid w:val="00A737B7"/>
    <w:rsid w:val="00A77774"/>
    <w:rsid w:val="00A80B2E"/>
    <w:rsid w:val="00A8489E"/>
    <w:rsid w:val="00A85309"/>
    <w:rsid w:val="00A858C3"/>
    <w:rsid w:val="00A85B90"/>
    <w:rsid w:val="00A87F68"/>
    <w:rsid w:val="00A93D75"/>
    <w:rsid w:val="00A93F81"/>
    <w:rsid w:val="00A94B75"/>
    <w:rsid w:val="00A94EC9"/>
    <w:rsid w:val="00A97321"/>
    <w:rsid w:val="00A978E5"/>
    <w:rsid w:val="00A97EBF"/>
    <w:rsid w:val="00AA04F9"/>
    <w:rsid w:val="00AA0889"/>
    <w:rsid w:val="00AA13B3"/>
    <w:rsid w:val="00AA23BA"/>
    <w:rsid w:val="00AA2E6B"/>
    <w:rsid w:val="00AA4870"/>
    <w:rsid w:val="00AA4A6D"/>
    <w:rsid w:val="00AA7784"/>
    <w:rsid w:val="00AB11E7"/>
    <w:rsid w:val="00AB55D0"/>
    <w:rsid w:val="00AB56FB"/>
    <w:rsid w:val="00AB60F8"/>
    <w:rsid w:val="00AB6EB6"/>
    <w:rsid w:val="00AC2D2E"/>
    <w:rsid w:val="00AC301A"/>
    <w:rsid w:val="00AC3246"/>
    <w:rsid w:val="00AC3317"/>
    <w:rsid w:val="00AC35D7"/>
    <w:rsid w:val="00AC611F"/>
    <w:rsid w:val="00AC6B73"/>
    <w:rsid w:val="00AC6F1A"/>
    <w:rsid w:val="00AC74AE"/>
    <w:rsid w:val="00AD192B"/>
    <w:rsid w:val="00AD438F"/>
    <w:rsid w:val="00AD4766"/>
    <w:rsid w:val="00AD7006"/>
    <w:rsid w:val="00AD7780"/>
    <w:rsid w:val="00AE02D5"/>
    <w:rsid w:val="00AE0937"/>
    <w:rsid w:val="00AE0A4F"/>
    <w:rsid w:val="00AE2347"/>
    <w:rsid w:val="00AE3109"/>
    <w:rsid w:val="00AE32A1"/>
    <w:rsid w:val="00AE4129"/>
    <w:rsid w:val="00AE529B"/>
    <w:rsid w:val="00AE649F"/>
    <w:rsid w:val="00AE6E76"/>
    <w:rsid w:val="00AF02AD"/>
    <w:rsid w:val="00AF291D"/>
    <w:rsid w:val="00AF30DD"/>
    <w:rsid w:val="00AF581C"/>
    <w:rsid w:val="00AF5C27"/>
    <w:rsid w:val="00AF613D"/>
    <w:rsid w:val="00AF6A7E"/>
    <w:rsid w:val="00AF7313"/>
    <w:rsid w:val="00B01D46"/>
    <w:rsid w:val="00B03F3C"/>
    <w:rsid w:val="00B04E09"/>
    <w:rsid w:val="00B05431"/>
    <w:rsid w:val="00B06E7A"/>
    <w:rsid w:val="00B11E8E"/>
    <w:rsid w:val="00B1216D"/>
    <w:rsid w:val="00B154C8"/>
    <w:rsid w:val="00B1738C"/>
    <w:rsid w:val="00B21AC2"/>
    <w:rsid w:val="00B21BC8"/>
    <w:rsid w:val="00B21BE0"/>
    <w:rsid w:val="00B21D57"/>
    <w:rsid w:val="00B26138"/>
    <w:rsid w:val="00B26143"/>
    <w:rsid w:val="00B26B85"/>
    <w:rsid w:val="00B26C5E"/>
    <w:rsid w:val="00B3084C"/>
    <w:rsid w:val="00B329DF"/>
    <w:rsid w:val="00B34A5D"/>
    <w:rsid w:val="00B361A5"/>
    <w:rsid w:val="00B36583"/>
    <w:rsid w:val="00B372DE"/>
    <w:rsid w:val="00B37394"/>
    <w:rsid w:val="00B4292D"/>
    <w:rsid w:val="00B42D14"/>
    <w:rsid w:val="00B46951"/>
    <w:rsid w:val="00B52E35"/>
    <w:rsid w:val="00B5320A"/>
    <w:rsid w:val="00B53E3D"/>
    <w:rsid w:val="00B5583D"/>
    <w:rsid w:val="00B57119"/>
    <w:rsid w:val="00B60727"/>
    <w:rsid w:val="00B63F94"/>
    <w:rsid w:val="00B64DE9"/>
    <w:rsid w:val="00B65206"/>
    <w:rsid w:val="00B66D3D"/>
    <w:rsid w:val="00B67759"/>
    <w:rsid w:val="00B70F40"/>
    <w:rsid w:val="00B71560"/>
    <w:rsid w:val="00B71E95"/>
    <w:rsid w:val="00B73120"/>
    <w:rsid w:val="00B7599E"/>
    <w:rsid w:val="00B761BB"/>
    <w:rsid w:val="00B80DFC"/>
    <w:rsid w:val="00B80EDE"/>
    <w:rsid w:val="00B84254"/>
    <w:rsid w:val="00B859B8"/>
    <w:rsid w:val="00B87988"/>
    <w:rsid w:val="00B87B37"/>
    <w:rsid w:val="00B90574"/>
    <w:rsid w:val="00B90ABB"/>
    <w:rsid w:val="00B90CBD"/>
    <w:rsid w:val="00B92E98"/>
    <w:rsid w:val="00B9528F"/>
    <w:rsid w:val="00B9529C"/>
    <w:rsid w:val="00B9543F"/>
    <w:rsid w:val="00B9553B"/>
    <w:rsid w:val="00BA3397"/>
    <w:rsid w:val="00BA606B"/>
    <w:rsid w:val="00BA78B0"/>
    <w:rsid w:val="00BA7DC3"/>
    <w:rsid w:val="00BB1A3F"/>
    <w:rsid w:val="00BB1FAA"/>
    <w:rsid w:val="00BB3ECA"/>
    <w:rsid w:val="00BB40B8"/>
    <w:rsid w:val="00BB471C"/>
    <w:rsid w:val="00BB5F5E"/>
    <w:rsid w:val="00BB61E6"/>
    <w:rsid w:val="00BB62E8"/>
    <w:rsid w:val="00BB6415"/>
    <w:rsid w:val="00BB767C"/>
    <w:rsid w:val="00BC045F"/>
    <w:rsid w:val="00BC12CD"/>
    <w:rsid w:val="00BC144C"/>
    <w:rsid w:val="00BC1890"/>
    <w:rsid w:val="00BC229A"/>
    <w:rsid w:val="00BC5C4C"/>
    <w:rsid w:val="00BC6B83"/>
    <w:rsid w:val="00BC6DAD"/>
    <w:rsid w:val="00BD1145"/>
    <w:rsid w:val="00BD2189"/>
    <w:rsid w:val="00BD2936"/>
    <w:rsid w:val="00BD40F4"/>
    <w:rsid w:val="00BD5772"/>
    <w:rsid w:val="00BD7565"/>
    <w:rsid w:val="00BE174B"/>
    <w:rsid w:val="00BE2A3D"/>
    <w:rsid w:val="00BE3611"/>
    <w:rsid w:val="00BE5099"/>
    <w:rsid w:val="00BE53FC"/>
    <w:rsid w:val="00BE573A"/>
    <w:rsid w:val="00BE63C9"/>
    <w:rsid w:val="00BE79E6"/>
    <w:rsid w:val="00BF2A99"/>
    <w:rsid w:val="00BF2B76"/>
    <w:rsid w:val="00BF303D"/>
    <w:rsid w:val="00BF3D62"/>
    <w:rsid w:val="00BF3FF4"/>
    <w:rsid w:val="00BF5678"/>
    <w:rsid w:val="00BF6518"/>
    <w:rsid w:val="00BF7FC6"/>
    <w:rsid w:val="00C01DA2"/>
    <w:rsid w:val="00C020F9"/>
    <w:rsid w:val="00C0383A"/>
    <w:rsid w:val="00C03FE1"/>
    <w:rsid w:val="00C048B1"/>
    <w:rsid w:val="00C0539B"/>
    <w:rsid w:val="00C056EE"/>
    <w:rsid w:val="00C05C8D"/>
    <w:rsid w:val="00C1063E"/>
    <w:rsid w:val="00C10713"/>
    <w:rsid w:val="00C117A2"/>
    <w:rsid w:val="00C131FB"/>
    <w:rsid w:val="00C15341"/>
    <w:rsid w:val="00C20E1F"/>
    <w:rsid w:val="00C21258"/>
    <w:rsid w:val="00C215E3"/>
    <w:rsid w:val="00C234E3"/>
    <w:rsid w:val="00C37429"/>
    <w:rsid w:val="00C411E5"/>
    <w:rsid w:val="00C417AD"/>
    <w:rsid w:val="00C452B7"/>
    <w:rsid w:val="00C45A12"/>
    <w:rsid w:val="00C46DC8"/>
    <w:rsid w:val="00C500B1"/>
    <w:rsid w:val="00C500DE"/>
    <w:rsid w:val="00C50B26"/>
    <w:rsid w:val="00C51B02"/>
    <w:rsid w:val="00C51F56"/>
    <w:rsid w:val="00C53BA5"/>
    <w:rsid w:val="00C53E7F"/>
    <w:rsid w:val="00C53F5E"/>
    <w:rsid w:val="00C543EA"/>
    <w:rsid w:val="00C56C4B"/>
    <w:rsid w:val="00C577CE"/>
    <w:rsid w:val="00C60BB5"/>
    <w:rsid w:val="00C62FBC"/>
    <w:rsid w:val="00C630C0"/>
    <w:rsid w:val="00C65FAA"/>
    <w:rsid w:val="00C7317A"/>
    <w:rsid w:val="00C74029"/>
    <w:rsid w:val="00C74A60"/>
    <w:rsid w:val="00C76857"/>
    <w:rsid w:val="00C77B4B"/>
    <w:rsid w:val="00C77FD7"/>
    <w:rsid w:val="00C81ECD"/>
    <w:rsid w:val="00C84EF2"/>
    <w:rsid w:val="00C8530A"/>
    <w:rsid w:val="00C8595C"/>
    <w:rsid w:val="00C87CFF"/>
    <w:rsid w:val="00C91EEF"/>
    <w:rsid w:val="00C92B04"/>
    <w:rsid w:val="00C93302"/>
    <w:rsid w:val="00C96476"/>
    <w:rsid w:val="00C966E5"/>
    <w:rsid w:val="00C9746E"/>
    <w:rsid w:val="00C97D01"/>
    <w:rsid w:val="00CA07E5"/>
    <w:rsid w:val="00CA124D"/>
    <w:rsid w:val="00CA2F94"/>
    <w:rsid w:val="00CA5643"/>
    <w:rsid w:val="00CA5CD4"/>
    <w:rsid w:val="00CB0602"/>
    <w:rsid w:val="00CB2706"/>
    <w:rsid w:val="00CB32BB"/>
    <w:rsid w:val="00CB53CC"/>
    <w:rsid w:val="00CB77AC"/>
    <w:rsid w:val="00CC02B6"/>
    <w:rsid w:val="00CC0515"/>
    <w:rsid w:val="00CC0BA0"/>
    <w:rsid w:val="00CC1EDA"/>
    <w:rsid w:val="00CC218A"/>
    <w:rsid w:val="00CC3230"/>
    <w:rsid w:val="00CC4394"/>
    <w:rsid w:val="00CC44AE"/>
    <w:rsid w:val="00CC5671"/>
    <w:rsid w:val="00CC68F4"/>
    <w:rsid w:val="00CC770D"/>
    <w:rsid w:val="00CC7BE3"/>
    <w:rsid w:val="00CD1E58"/>
    <w:rsid w:val="00CD3365"/>
    <w:rsid w:val="00CD471E"/>
    <w:rsid w:val="00CD482D"/>
    <w:rsid w:val="00CD48A2"/>
    <w:rsid w:val="00CD4FD0"/>
    <w:rsid w:val="00CD7A14"/>
    <w:rsid w:val="00CE0E5F"/>
    <w:rsid w:val="00CE2FCF"/>
    <w:rsid w:val="00CE318F"/>
    <w:rsid w:val="00CE5461"/>
    <w:rsid w:val="00CE6B10"/>
    <w:rsid w:val="00CE6C4B"/>
    <w:rsid w:val="00CF36D8"/>
    <w:rsid w:val="00CF43C8"/>
    <w:rsid w:val="00CF46D5"/>
    <w:rsid w:val="00CF4736"/>
    <w:rsid w:val="00CF7ADB"/>
    <w:rsid w:val="00D0033D"/>
    <w:rsid w:val="00D006B0"/>
    <w:rsid w:val="00D00BE4"/>
    <w:rsid w:val="00D02560"/>
    <w:rsid w:val="00D04121"/>
    <w:rsid w:val="00D051E7"/>
    <w:rsid w:val="00D0793C"/>
    <w:rsid w:val="00D07B26"/>
    <w:rsid w:val="00D111BB"/>
    <w:rsid w:val="00D1246C"/>
    <w:rsid w:val="00D12661"/>
    <w:rsid w:val="00D13E2C"/>
    <w:rsid w:val="00D14FF6"/>
    <w:rsid w:val="00D155CF"/>
    <w:rsid w:val="00D1702F"/>
    <w:rsid w:val="00D170E0"/>
    <w:rsid w:val="00D1785C"/>
    <w:rsid w:val="00D20EEA"/>
    <w:rsid w:val="00D229F0"/>
    <w:rsid w:val="00D23291"/>
    <w:rsid w:val="00D23533"/>
    <w:rsid w:val="00D24B67"/>
    <w:rsid w:val="00D25C54"/>
    <w:rsid w:val="00D338D3"/>
    <w:rsid w:val="00D33F03"/>
    <w:rsid w:val="00D360C6"/>
    <w:rsid w:val="00D365C0"/>
    <w:rsid w:val="00D40B48"/>
    <w:rsid w:val="00D42D0E"/>
    <w:rsid w:val="00D445DC"/>
    <w:rsid w:val="00D45287"/>
    <w:rsid w:val="00D4573D"/>
    <w:rsid w:val="00D46EEB"/>
    <w:rsid w:val="00D475F2"/>
    <w:rsid w:val="00D4768A"/>
    <w:rsid w:val="00D50683"/>
    <w:rsid w:val="00D5094C"/>
    <w:rsid w:val="00D519FF"/>
    <w:rsid w:val="00D5274E"/>
    <w:rsid w:val="00D53693"/>
    <w:rsid w:val="00D537A9"/>
    <w:rsid w:val="00D547AC"/>
    <w:rsid w:val="00D5490A"/>
    <w:rsid w:val="00D55357"/>
    <w:rsid w:val="00D557A0"/>
    <w:rsid w:val="00D562FA"/>
    <w:rsid w:val="00D567DE"/>
    <w:rsid w:val="00D60A82"/>
    <w:rsid w:val="00D61169"/>
    <w:rsid w:val="00D6122C"/>
    <w:rsid w:val="00D61F43"/>
    <w:rsid w:val="00D63F07"/>
    <w:rsid w:val="00D654F0"/>
    <w:rsid w:val="00D664D5"/>
    <w:rsid w:val="00D66C0A"/>
    <w:rsid w:val="00D72E5B"/>
    <w:rsid w:val="00D745C3"/>
    <w:rsid w:val="00D75D8E"/>
    <w:rsid w:val="00D76FB8"/>
    <w:rsid w:val="00D8053D"/>
    <w:rsid w:val="00D80B1A"/>
    <w:rsid w:val="00D828CE"/>
    <w:rsid w:val="00D83F62"/>
    <w:rsid w:val="00D85C6B"/>
    <w:rsid w:val="00D86DAC"/>
    <w:rsid w:val="00D90AE9"/>
    <w:rsid w:val="00D90CAD"/>
    <w:rsid w:val="00D92A5C"/>
    <w:rsid w:val="00D93747"/>
    <w:rsid w:val="00D93C60"/>
    <w:rsid w:val="00D93FCC"/>
    <w:rsid w:val="00D94365"/>
    <w:rsid w:val="00D94388"/>
    <w:rsid w:val="00D944F3"/>
    <w:rsid w:val="00D9534E"/>
    <w:rsid w:val="00D955F1"/>
    <w:rsid w:val="00DA2236"/>
    <w:rsid w:val="00DA2485"/>
    <w:rsid w:val="00DA3338"/>
    <w:rsid w:val="00DA4B47"/>
    <w:rsid w:val="00DA4D00"/>
    <w:rsid w:val="00DA5FB5"/>
    <w:rsid w:val="00DB307A"/>
    <w:rsid w:val="00DB441E"/>
    <w:rsid w:val="00DB4DA3"/>
    <w:rsid w:val="00DC1D5F"/>
    <w:rsid w:val="00DC1FAD"/>
    <w:rsid w:val="00DC20F9"/>
    <w:rsid w:val="00DC46F4"/>
    <w:rsid w:val="00DC56ED"/>
    <w:rsid w:val="00DC7F24"/>
    <w:rsid w:val="00DD08E7"/>
    <w:rsid w:val="00DD52DE"/>
    <w:rsid w:val="00DD7107"/>
    <w:rsid w:val="00DE28C4"/>
    <w:rsid w:val="00DE29A8"/>
    <w:rsid w:val="00DE4225"/>
    <w:rsid w:val="00DE6006"/>
    <w:rsid w:val="00DE7A57"/>
    <w:rsid w:val="00DE7C1A"/>
    <w:rsid w:val="00DF1747"/>
    <w:rsid w:val="00DF43EA"/>
    <w:rsid w:val="00DF52BC"/>
    <w:rsid w:val="00DF5FB1"/>
    <w:rsid w:val="00DF7393"/>
    <w:rsid w:val="00DF781B"/>
    <w:rsid w:val="00E009F3"/>
    <w:rsid w:val="00E00DDC"/>
    <w:rsid w:val="00E01FA7"/>
    <w:rsid w:val="00E0274F"/>
    <w:rsid w:val="00E0432C"/>
    <w:rsid w:val="00E048E5"/>
    <w:rsid w:val="00E061F3"/>
    <w:rsid w:val="00E07B26"/>
    <w:rsid w:val="00E07F21"/>
    <w:rsid w:val="00E13FB6"/>
    <w:rsid w:val="00E1487A"/>
    <w:rsid w:val="00E16DAB"/>
    <w:rsid w:val="00E2006D"/>
    <w:rsid w:val="00E22756"/>
    <w:rsid w:val="00E25815"/>
    <w:rsid w:val="00E26F1D"/>
    <w:rsid w:val="00E3140F"/>
    <w:rsid w:val="00E31A51"/>
    <w:rsid w:val="00E31F6C"/>
    <w:rsid w:val="00E3275C"/>
    <w:rsid w:val="00E33021"/>
    <w:rsid w:val="00E33342"/>
    <w:rsid w:val="00E3344C"/>
    <w:rsid w:val="00E339BB"/>
    <w:rsid w:val="00E35CC1"/>
    <w:rsid w:val="00E40738"/>
    <w:rsid w:val="00E42B06"/>
    <w:rsid w:val="00E43C88"/>
    <w:rsid w:val="00E45060"/>
    <w:rsid w:val="00E47625"/>
    <w:rsid w:val="00E535E4"/>
    <w:rsid w:val="00E543F8"/>
    <w:rsid w:val="00E55DD8"/>
    <w:rsid w:val="00E56F4D"/>
    <w:rsid w:val="00E57F4D"/>
    <w:rsid w:val="00E57FDC"/>
    <w:rsid w:val="00E600D2"/>
    <w:rsid w:val="00E60ED6"/>
    <w:rsid w:val="00E611C6"/>
    <w:rsid w:val="00E62037"/>
    <w:rsid w:val="00E64DD1"/>
    <w:rsid w:val="00E65773"/>
    <w:rsid w:val="00E65A5A"/>
    <w:rsid w:val="00E65DE3"/>
    <w:rsid w:val="00E6719F"/>
    <w:rsid w:val="00E726D8"/>
    <w:rsid w:val="00E72946"/>
    <w:rsid w:val="00E757E9"/>
    <w:rsid w:val="00E7593F"/>
    <w:rsid w:val="00E768F9"/>
    <w:rsid w:val="00E771B0"/>
    <w:rsid w:val="00E77F8A"/>
    <w:rsid w:val="00E8219A"/>
    <w:rsid w:val="00E829CB"/>
    <w:rsid w:val="00E8554D"/>
    <w:rsid w:val="00E859F8"/>
    <w:rsid w:val="00E875DE"/>
    <w:rsid w:val="00E87C9B"/>
    <w:rsid w:val="00E9018A"/>
    <w:rsid w:val="00E93090"/>
    <w:rsid w:val="00E93C34"/>
    <w:rsid w:val="00EA2BCA"/>
    <w:rsid w:val="00EA2C71"/>
    <w:rsid w:val="00EA6EE3"/>
    <w:rsid w:val="00EA7E56"/>
    <w:rsid w:val="00EB021E"/>
    <w:rsid w:val="00EB05ED"/>
    <w:rsid w:val="00EB0C4B"/>
    <w:rsid w:val="00EB0DC4"/>
    <w:rsid w:val="00EB0E52"/>
    <w:rsid w:val="00EB1F77"/>
    <w:rsid w:val="00EB506E"/>
    <w:rsid w:val="00EC48B6"/>
    <w:rsid w:val="00EC63A7"/>
    <w:rsid w:val="00ED0D35"/>
    <w:rsid w:val="00ED1E20"/>
    <w:rsid w:val="00ED2FB9"/>
    <w:rsid w:val="00ED4C47"/>
    <w:rsid w:val="00ED4D48"/>
    <w:rsid w:val="00ED70B4"/>
    <w:rsid w:val="00EE2A0A"/>
    <w:rsid w:val="00EE2DA4"/>
    <w:rsid w:val="00EE4005"/>
    <w:rsid w:val="00EE4C19"/>
    <w:rsid w:val="00EE774B"/>
    <w:rsid w:val="00EF170D"/>
    <w:rsid w:val="00EF19BF"/>
    <w:rsid w:val="00EF23AC"/>
    <w:rsid w:val="00EF33E9"/>
    <w:rsid w:val="00EF36DF"/>
    <w:rsid w:val="00EF65C0"/>
    <w:rsid w:val="00EF7534"/>
    <w:rsid w:val="00EF7B68"/>
    <w:rsid w:val="00EF7BA0"/>
    <w:rsid w:val="00F00972"/>
    <w:rsid w:val="00F01B20"/>
    <w:rsid w:val="00F02047"/>
    <w:rsid w:val="00F032DB"/>
    <w:rsid w:val="00F0346D"/>
    <w:rsid w:val="00F03CD9"/>
    <w:rsid w:val="00F03F58"/>
    <w:rsid w:val="00F05511"/>
    <w:rsid w:val="00F06C75"/>
    <w:rsid w:val="00F0711F"/>
    <w:rsid w:val="00F0715F"/>
    <w:rsid w:val="00F071CD"/>
    <w:rsid w:val="00F10C7F"/>
    <w:rsid w:val="00F11612"/>
    <w:rsid w:val="00F124CD"/>
    <w:rsid w:val="00F127FE"/>
    <w:rsid w:val="00F1285B"/>
    <w:rsid w:val="00F14773"/>
    <w:rsid w:val="00F14DB7"/>
    <w:rsid w:val="00F14F6E"/>
    <w:rsid w:val="00F20994"/>
    <w:rsid w:val="00F22C96"/>
    <w:rsid w:val="00F22ED1"/>
    <w:rsid w:val="00F24866"/>
    <w:rsid w:val="00F27225"/>
    <w:rsid w:val="00F30258"/>
    <w:rsid w:val="00F313E2"/>
    <w:rsid w:val="00F32B6C"/>
    <w:rsid w:val="00F361E3"/>
    <w:rsid w:val="00F401C9"/>
    <w:rsid w:val="00F407D9"/>
    <w:rsid w:val="00F41844"/>
    <w:rsid w:val="00F41E24"/>
    <w:rsid w:val="00F45A66"/>
    <w:rsid w:val="00F47A5A"/>
    <w:rsid w:val="00F504AD"/>
    <w:rsid w:val="00F51460"/>
    <w:rsid w:val="00F54EDC"/>
    <w:rsid w:val="00F60526"/>
    <w:rsid w:val="00F6130E"/>
    <w:rsid w:val="00F61EE2"/>
    <w:rsid w:val="00F625E4"/>
    <w:rsid w:val="00F63149"/>
    <w:rsid w:val="00F65C61"/>
    <w:rsid w:val="00F66421"/>
    <w:rsid w:val="00F67759"/>
    <w:rsid w:val="00F72551"/>
    <w:rsid w:val="00F73484"/>
    <w:rsid w:val="00F748B8"/>
    <w:rsid w:val="00F75069"/>
    <w:rsid w:val="00F75123"/>
    <w:rsid w:val="00F76090"/>
    <w:rsid w:val="00F76B62"/>
    <w:rsid w:val="00F77C8E"/>
    <w:rsid w:val="00F80464"/>
    <w:rsid w:val="00F8342E"/>
    <w:rsid w:val="00F83D75"/>
    <w:rsid w:val="00F8456D"/>
    <w:rsid w:val="00F847C6"/>
    <w:rsid w:val="00F87CC2"/>
    <w:rsid w:val="00F9063F"/>
    <w:rsid w:val="00F90B81"/>
    <w:rsid w:val="00F912E2"/>
    <w:rsid w:val="00F91DD6"/>
    <w:rsid w:val="00F9528D"/>
    <w:rsid w:val="00F96F2A"/>
    <w:rsid w:val="00F97818"/>
    <w:rsid w:val="00FA1933"/>
    <w:rsid w:val="00FA271F"/>
    <w:rsid w:val="00FA7E7A"/>
    <w:rsid w:val="00FB0E0E"/>
    <w:rsid w:val="00FB0EBD"/>
    <w:rsid w:val="00FB151D"/>
    <w:rsid w:val="00FB27E2"/>
    <w:rsid w:val="00FB2D03"/>
    <w:rsid w:val="00FB44B4"/>
    <w:rsid w:val="00FB44BC"/>
    <w:rsid w:val="00FB4F69"/>
    <w:rsid w:val="00FB73F4"/>
    <w:rsid w:val="00FB784C"/>
    <w:rsid w:val="00FC271A"/>
    <w:rsid w:val="00FC3252"/>
    <w:rsid w:val="00FC4899"/>
    <w:rsid w:val="00FC4A60"/>
    <w:rsid w:val="00FC532D"/>
    <w:rsid w:val="00FC7074"/>
    <w:rsid w:val="00FD0FA7"/>
    <w:rsid w:val="00FD3C9B"/>
    <w:rsid w:val="00FD3D7B"/>
    <w:rsid w:val="00FD4076"/>
    <w:rsid w:val="00FE0B80"/>
    <w:rsid w:val="00FE21DA"/>
    <w:rsid w:val="00FE2D09"/>
    <w:rsid w:val="00FE2E38"/>
    <w:rsid w:val="00FE37C0"/>
    <w:rsid w:val="00FE3E44"/>
    <w:rsid w:val="00FE4E97"/>
    <w:rsid w:val="00FE51E3"/>
    <w:rsid w:val="00FE5708"/>
    <w:rsid w:val="00FE5D7D"/>
    <w:rsid w:val="00FF1AE9"/>
    <w:rsid w:val="00FF1DE6"/>
    <w:rsid w:val="00FF44B7"/>
    <w:rsid w:val="00FF4EFD"/>
    <w:rsid w:val="00FF5CD6"/>
    <w:rsid w:val="00FF5E86"/>
    <w:rsid w:val="010F4D4C"/>
    <w:rsid w:val="012A7EB8"/>
    <w:rsid w:val="014737E2"/>
    <w:rsid w:val="01582EFF"/>
    <w:rsid w:val="015A1019"/>
    <w:rsid w:val="016438D9"/>
    <w:rsid w:val="0167398B"/>
    <w:rsid w:val="017E2E02"/>
    <w:rsid w:val="018F5831"/>
    <w:rsid w:val="01AF1367"/>
    <w:rsid w:val="01AF4913"/>
    <w:rsid w:val="01CC60F7"/>
    <w:rsid w:val="01E0373D"/>
    <w:rsid w:val="01FE3350"/>
    <w:rsid w:val="02056D00"/>
    <w:rsid w:val="02160F0D"/>
    <w:rsid w:val="02320327"/>
    <w:rsid w:val="0237176B"/>
    <w:rsid w:val="02373ECB"/>
    <w:rsid w:val="023E4C8B"/>
    <w:rsid w:val="024B6CD3"/>
    <w:rsid w:val="02706C51"/>
    <w:rsid w:val="027F20F2"/>
    <w:rsid w:val="02924867"/>
    <w:rsid w:val="02A36C44"/>
    <w:rsid w:val="02AD7C71"/>
    <w:rsid w:val="02AE2749"/>
    <w:rsid w:val="02BF044F"/>
    <w:rsid w:val="02DB51EC"/>
    <w:rsid w:val="02E36BEF"/>
    <w:rsid w:val="02F1161A"/>
    <w:rsid w:val="02FC1075"/>
    <w:rsid w:val="03296268"/>
    <w:rsid w:val="0336770E"/>
    <w:rsid w:val="03587FCB"/>
    <w:rsid w:val="036D482C"/>
    <w:rsid w:val="0385459C"/>
    <w:rsid w:val="03935032"/>
    <w:rsid w:val="03D24F6D"/>
    <w:rsid w:val="03F04176"/>
    <w:rsid w:val="03F73BC2"/>
    <w:rsid w:val="03F96D2E"/>
    <w:rsid w:val="03FF7896"/>
    <w:rsid w:val="041F4526"/>
    <w:rsid w:val="04222038"/>
    <w:rsid w:val="0447068A"/>
    <w:rsid w:val="044E55AD"/>
    <w:rsid w:val="045028A0"/>
    <w:rsid w:val="04533824"/>
    <w:rsid w:val="04726E4A"/>
    <w:rsid w:val="047C774D"/>
    <w:rsid w:val="048E7480"/>
    <w:rsid w:val="049A03C9"/>
    <w:rsid w:val="04C63B63"/>
    <w:rsid w:val="04C96CE6"/>
    <w:rsid w:val="04E86B91"/>
    <w:rsid w:val="04FA7E4A"/>
    <w:rsid w:val="04FF37D1"/>
    <w:rsid w:val="05036BD9"/>
    <w:rsid w:val="05043F8A"/>
    <w:rsid w:val="05220FB6"/>
    <w:rsid w:val="0526590B"/>
    <w:rsid w:val="05516DAF"/>
    <w:rsid w:val="055B3EE6"/>
    <w:rsid w:val="05720CA4"/>
    <w:rsid w:val="057A1088"/>
    <w:rsid w:val="058F51CD"/>
    <w:rsid w:val="0599351E"/>
    <w:rsid w:val="05A30C46"/>
    <w:rsid w:val="05B81948"/>
    <w:rsid w:val="05C1362E"/>
    <w:rsid w:val="05D20705"/>
    <w:rsid w:val="05D45367"/>
    <w:rsid w:val="05D53E08"/>
    <w:rsid w:val="060D2627"/>
    <w:rsid w:val="061D2025"/>
    <w:rsid w:val="061E585A"/>
    <w:rsid w:val="061E7A3C"/>
    <w:rsid w:val="061F4103"/>
    <w:rsid w:val="06203CD8"/>
    <w:rsid w:val="0627082E"/>
    <w:rsid w:val="062E2099"/>
    <w:rsid w:val="063E0203"/>
    <w:rsid w:val="06481C7B"/>
    <w:rsid w:val="065906F6"/>
    <w:rsid w:val="066105D4"/>
    <w:rsid w:val="067A7CBC"/>
    <w:rsid w:val="06A21A11"/>
    <w:rsid w:val="06AE5C02"/>
    <w:rsid w:val="06C76C7A"/>
    <w:rsid w:val="06D729E4"/>
    <w:rsid w:val="06DC03D0"/>
    <w:rsid w:val="06E52B65"/>
    <w:rsid w:val="06EC5609"/>
    <w:rsid w:val="06F24044"/>
    <w:rsid w:val="07012071"/>
    <w:rsid w:val="07013F3A"/>
    <w:rsid w:val="070477F9"/>
    <w:rsid w:val="070D252A"/>
    <w:rsid w:val="07260D58"/>
    <w:rsid w:val="07506B97"/>
    <w:rsid w:val="07711AA5"/>
    <w:rsid w:val="077E2BC3"/>
    <w:rsid w:val="07893F2F"/>
    <w:rsid w:val="07A200A6"/>
    <w:rsid w:val="07AE3E23"/>
    <w:rsid w:val="07B03178"/>
    <w:rsid w:val="07CD7525"/>
    <w:rsid w:val="07FC71C2"/>
    <w:rsid w:val="08027491"/>
    <w:rsid w:val="081710BE"/>
    <w:rsid w:val="082B1C77"/>
    <w:rsid w:val="084A5AE3"/>
    <w:rsid w:val="085F418C"/>
    <w:rsid w:val="08726ABE"/>
    <w:rsid w:val="08800243"/>
    <w:rsid w:val="088832FF"/>
    <w:rsid w:val="088A4403"/>
    <w:rsid w:val="08903B99"/>
    <w:rsid w:val="0891767A"/>
    <w:rsid w:val="08AD4389"/>
    <w:rsid w:val="08C571E9"/>
    <w:rsid w:val="08C72F61"/>
    <w:rsid w:val="08D67C3F"/>
    <w:rsid w:val="08DB18C7"/>
    <w:rsid w:val="09372A3B"/>
    <w:rsid w:val="093C3E19"/>
    <w:rsid w:val="09526F14"/>
    <w:rsid w:val="09537B7D"/>
    <w:rsid w:val="09546409"/>
    <w:rsid w:val="095669E2"/>
    <w:rsid w:val="09673BFD"/>
    <w:rsid w:val="096C0084"/>
    <w:rsid w:val="09B16C3F"/>
    <w:rsid w:val="09B6397C"/>
    <w:rsid w:val="09E27152"/>
    <w:rsid w:val="09E8438B"/>
    <w:rsid w:val="0A182E5F"/>
    <w:rsid w:val="0A312D88"/>
    <w:rsid w:val="0A5B5249"/>
    <w:rsid w:val="0A6D7533"/>
    <w:rsid w:val="0A724F2F"/>
    <w:rsid w:val="0A7B1EF2"/>
    <w:rsid w:val="0A8F6BF5"/>
    <w:rsid w:val="0AA11B99"/>
    <w:rsid w:val="0AA37739"/>
    <w:rsid w:val="0AB03EC8"/>
    <w:rsid w:val="0AB27DA5"/>
    <w:rsid w:val="0AB413B7"/>
    <w:rsid w:val="0ABA1F25"/>
    <w:rsid w:val="0AF47654"/>
    <w:rsid w:val="0B071D3B"/>
    <w:rsid w:val="0B0E4223"/>
    <w:rsid w:val="0B1629E3"/>
    <w:rsid w:val="0B16483D"/>
    <w:rsid w:val="0B30416C"/>
    <w:rsid w:val="0B3F5651"/>
    <w:rsid w:val="0B475E29"/>
    <w:rsid w:val="0B5036E2"/>
    <w:rsid w:val="0B5057A3"/>
    <w:rsid w:val="0B6A5665"/>
    <w:rsid w:val="0B6D48C8"/>
    <w:rsid w:val="0B731050"/>
    <w:rsid w:val="0B912868"/>
    <w:rsid w:val="0B9241F7"/>
    <w:rsid w:val="0B94351C"/>
    <w:rsid w:val="0BAE0408"/>
    <w:rsid w:val="0BB05C4C"/>
    <w:rsid w:val="0BCF5495"/>
    <w:rsid w:val="0BD14C4B"/>
    <w:rsid w:val="0BF47E44"/>
    <w:rsid w:val="0C2E2D5B"/>
    <w:rsid w:val="0C316554"/>
    <w:rsid w:val="0C3D74CF"/>
    <w:rsid w:val="0C413E57"/>
    <w:rsid w:val="0C59614E"/>
    <w:rsid w:val="0C634E99"/>
    <w:rsid w:val="0C6720CD"/>
    <w:rsid w:val="0C6C3B81"/>
    <w:rsid w:val="0C774C9E"/>
    <w:rsid w:val="0C786A02"/>
    <w:rsid w:val="0CA5404F"/>
    <w:rsid w:val="0CA96BE8"/>
    <w:rsid w:val="0CB9402F"/>
    <w:rsid w:val="0CBE4DB1"/>
    <w:rsid w:val="0CC87AE1"/>
    <w:rsid w:val="0CE32A05"/>
    <w:rsid w:val="0CE8435C"/>
    <w:rsid w:val="0CF31DDB"/>
    <w:rsid w:val="0D003448"/>
    <w:rsid w:val="0D082A6E"/>
    <w:rsid w:val="0D267C2C"/>
    <w:rsid w:val="0D285E88"/>
    <w:rsid w:val="0D352A58"/>
    <w:rsid w:val="0D4C5AE1"/>
    <w:rsid w:val="0D5279EB"/>
    <w:rsid w:val="0D711B28"/>
    <w:rsid w:val="0D837D9E"/>
    <w:rsid w:val="0D86113E"/>
    <w:rsid w:val="0D8C6527"/>
    <w:rsid w:val="0D997B77"/>
    <w:rsid w:val="0DAD7375"/>
    <w:rsid w:val="0DB6012B"/>
    <w:rsid w:val="0DB65CE0"/>
    <w:rsid w:val="0DCE08EE"/>
    <w:rsid w:val="0DD7421C"/>
    <w:rsid w:val="0DDA7693"/>
    <w:rsid w:val="0DEC4001"/>
    <w:rsid w:val="0DEE3275"/>
    <w:rsid w:val="0DF3263F"/>
    <w:rsid w:val="0DFE11D3"/>
    <w:rsid w:val="0E0C50D6"/>
    <w:rsid w:val="0E17575D"/>
    <w:rsid w:val="0E3E75A5"/>
    <w:rsid w:val="0E3F023A"/>
    <w:rsid w:val="0EBE4CCE"/>
    <w:rsid w:val="0ECD6ED7"/>
    <w:rsid w:val="0EDD19EB"/>
    <w:rsid w:val="0EF820C6"/>
    <w:rsid w:val="0EF95E3E"/>
    <w:rsid w:val="0F0740B7"/>
    <w:rsid w:val="0F152C78"/>
    <w:rsid w:val="0F3E2B95"/>
    <w:rsid w:val="0F4E699D"/>
    <w:rsid w:val="0F64198D"/>
    <w:rsid w:val="0F6B0B12"/>
    <w:rsid w:val="0F710237"/>
    <w:rsid w:val="0F7D0D0E"/>
    <w:rsid w:val="0F983B7B"/>
    <w:rsid w:val="0FB53CB9"/>
    <w:rsid w:val="0FBC086E"/>
    <w:rsid w:val="0FBD0959"/>
    <w:rsid w:val="0FE20680"/>
    <w:rsid w:val="0FE250DA"/>
    <w:rsid w:val="101D2EF8"/>
    <w:rsid w:val="101F3D01"/>
    <w:rsid w:val="10547EE0"/>
    <w:rsid w:val="107D6976"/>
    <w:rsid w:val="108F274C"/>
    <w:rsid w:val="10A05131"/>
    <w:rsid w:val="10A741DE"/>
    <w:rsid w:val="10AB19C4"/>
    <w:rsid w:val="10AB6468"/>
    <w:rsid w:val="10B72AF2"/>
    <w:rsid w:val="10BA31FF"/>
    <w:rsid w:val="10BE4C49"/>
    <w:rsid w:val="10FB58D7"/>
    <w:rsid w:val="11002718"/>
    <w:rsid w:val="11021BCA"/>
    <w:rsid w:val="11154534"/>
    <w:rsid w:val="114C5FF1"/>
    <w:rsid w:val="11524A73"/>
    <w:rsid w:val="117A38EE"/>
    <w:rsid w:val="118A2253"/>
    <w:rsid w:val="119641FB"/>
    <w:rsid w:val="1197501A"/>
    <w:rsid w:val="11A61B83"/>
    <w:rsid w:val="11A65F20"/>
    <w:rsid w:val="11A71D5B"/>
    <w:rsid w:val="11A959E5"/>
    <w:rsid w:val="11B015E2"/>
    <w:rsid w:val="11B17FE0"/>
    <w:rsid w:val="11B71E1D"/>
    <w:rsid w:val="11EC4876"/>
    <w:rsid w:val="11F2097D"/>
    <w:rsid w:val="11FA7F03"/>
    <w:rsid w:val="11FB709A"/>
    <w:rsid w:val="1202325C"/>
    <w:rsid w:val="12207642"/>
    <w:rsid w:val="122C594A"/>
    <w:rsid w:val="12427803"/>
    <w:rsid w:val="127F1866"/>
    <w:rsid w:val="128D360D"/>
    <w:rsid w:val="129B2477"/>
    <w:rsid w:val="12AB478D"/>
    <w:rsid w:val="12B16DCB"/>
    <w:rsid w:val="12D12245"/>
    <w:rsid w:val="12DE043E"/>
    <w:rsid w:val="13020DA3"/>
    <w:rsid w:val="13022510"/>
    <w:rsid w:val="130B691D"/>
    <w:rsid w:val="130C0DBE"/>
    <w:rsid w:val="131C0B66"/>
    <w:rsid w:val="132938C7"/>
    <w:rsid w:val="1335647C"/>
    <w:rsid w:val="13383B48"/>
    <w:rsid w:val="134428A9"/>
    <w:rsid w:val="1381018F"/>
    <w:rsid w:val="138557AC"/>
    <w:rsid w:val="139066E2"/>
    <w:rsid w:val="13984ADA"/>
    <w:rsid w:val="13A97FB3"/>
    <w:rsid w:val="13AA2F6E"/>
    <w:rsid w:val="13BD5ED8"/>
    <w:rsid w:val="13C406E0"/>
    <w:rsid w:val="13C85A1E"/>
    <w:rsid w:val="13D244B1"/>
    <w:rsid w:val="13DA02E9"/>
    <w:rsid w:val="13DB1329"/>
    <w:rsid w:val="13DC4910"/>
    <w:rsid w:val="13FC2057"/>
    <w:rsid w:val="14036246"/>
    <w:rsid w:val="1404150D"/>
    <w:rsid w:val="140F78DC"/>
    <w:rsid w:val="14104FDF"/>
    <w:rsid w:val="141E3FDC"/>
    <w:rsid w:val="1422720D"/>
    <w:rsid w:val="142E658A"/>
    <w:rsid w:val="14714450"/>
    <w:rsid w:val="147C72F5"/>
    <w:rsid w:val="14882C9E"/>
    <w:rsid w:val="149C1746"/>
    <w:rsid w:val="14B2401C"/>
    <w:rsid w:val="14D67156"/>
    <w:rsid w:val="14D86FB3"/>
    <w:rsid w:val="14DB3426"/>
    <w:rsid w:val="14F81519"/>
    <w:rsid w:val="15017498"/>
    <w:rsid w:val="1506414A"/>
    <w:rsid w:val="15074BC0"/>
    <w:rsid w:val="151E3433"/>
    <w:rsid w:val="153638DD"/>
    <w:rsid w:val="15404C7A"/>
    <w:rsid w:val="15437E13"/>
    <w:rsid w:val="154549BE"/>
    <w:rsid w:val="154B51FC"/>
    <w:rsid w:val="1567533C"/>
    <w:rsid w:val="1571543C"/>
    <w:rsid w:val="15796E03"/>
    <w:rsid w:val="15816BE8"/>
    <w:rsid w:val="15973CBB"/>
    <w:rsid w:val="15984F7E"/>
    <w:rsid w:val="15B75BB0"/>
    <w:rsid w:val="15C22E60"/>
    <w:rsid w:val="15DA0777"/>
    <w:rsid w:val="15DB629E"/>
    <w:rsid w:val="15E33A5B"/>
    <w:rsid w:val="15E54840"/>
    <w:rsid w:val="15ED6F84"/>
    <w:rsid w:val="15F663DE"/>
    <w:rsid w:val="15FA1B1D"/>
    <w:rsid w:val="16034C3D"/>
    <w:rsid w:val="160B00E6"/>
    <w:rsid w:val="161B669A"/>
    <w:rsid w:val="162A2B3B"/>
    <w:rsid w:val="162F72EE"/>
    <w:rsid w:val="16307503"/>
    <w:rsid w:val="16447E6F"/>
    <w:rsid w:val="16483E1A"/>
    <w:rsid w:val="165301DC"/>
    <w:rsid w:val="165E1841"/>
    <w:rsid w:val="166E6B3A"/>
    <w:rsid w:val="16745F63"/>
    <w:rsid w:val="167572CD"/>
    <w:rsid w:val="16775890"/>
    <w:rsid w:val="168E138C"/>
    <w:rsid w:val="16AA643D"/>
    <w:rsid w:val="16B23F28"/>
    <w:rsid w:val="16BE25E7"/>
    <w:rsid w:val="16D0087B"/>
    <w:rsid w:val="16E62A1F"/>
    <w:rsid w:val="17041525"/>
    <w:rsid w:val="17256832"/>
    <w:rsid w:val="17324DCD"/>
    <w:rsid w:val="1763654B"/>
    <w:rsid w:val="17844B44"/>
    <w:rsid w:val="178B0EA5"/>
    <w:rsid w:val="178B2FD3"/>
    <w:rsid w:val="1791176B"/>
    <w:rsid w:val="17A70832"/>
    <w:rsid w:val="17BC20A7"/>
    <w:rsid w:val="17C12BED"/>
    <w:rsid w:val="17C15C05"/>
    <w:rsid w:val="17C910D5"/>
    <w:rsid w:val="17EE475F"/>
    <w:rsid w:val="17F01E7A"/>
    <w:rsid w:val="17F670C3"/>
    <w:rsid w:val="17FD451F"/>
    <w:rsid w:val="17FE5B7E"/>
    <w:rsid w:val="187F52DF"/>
    <w:rsid w:val="18847929"/>
    <w:rsid w:val="18A6087B"/>
    <w:rsid w:val="18B22F8F"/>
    <w:rsid w:val="18B57C8B"/>
    <w:rsid w:val="18C66B66"/>
    <w:rsid w:val="18DF60A5"/>
    <w:rsid w:val="18E16F0F"/>
    <w:rsid w:val="18E92571"/>
    <w:rsid w:val="18F31FC7"/>
    <w:rsid w:val="19140A35"/>
    <w:rsid w:val="19237DCB"/>
    <w:rsid w:val="19371346"/>
    <w:rsid w:val="19466124"/>
    <w:rsid w:val="19607860"/>
    <w:rsid w:val="19662322"/>
    <w:rsid w:val="196C1730"/>
    <w:rsid w:val="196F70F1"/>
    <w:rsid w:val="19755C40"/>
    <w:rsid w:val="19887C1B"/>
    <w:rsid w:val="19D364CC"/>
    <w:rsid w:val="19D7199F"/>
    <w:rsid w:val="19E05896"/>
    <w:rsid w:val="19E07975"/>
    <w:rsid w:val="19E1289C"/>
    <w:rsid w:val="19EC5296"/>
    <w:rsid w:val="1A0105E4"/>
    <w:rsid w:val="1A0C668A"/>
    <w:rsid w:val="1A0E3C88"/>
    <w:rsid w:val="1A204ED9"/>
    <w:rsid w:val="1A460D44"/>
    <w:rsid w:val="1A6628A8"/>
    <w:rsid w:val="1A950CFB"/>
    <w:rsid w:val="1A9639C7"/>
    <w:rsid w:val="1AA72BF2"/>
    <w:rsid w:val="1ABB038E"/>
    <w:rsid w:val="1ACF1EB6"/>
    <w:rsid w:val="1AD62C15"/>
    <w:rsid w:val="1ADC16FD"/>
    <w:rsid w:val="1ADF238C"/>
    <w:rsid w:val="1AE33CD1"/>
    <w:rsid w:val="1AEE033B"/>
    <w:rsid w:val="1AF35E37"/>
    <w:rsid w:val="1AF75C58"/>
    <w:rsid w:val="1AF97224"/>
    <w:rsid w:val="1AFE02F2"/>
    <w:rsid w:val="1B222DE6"/>
    <w:rsid w:val="1B2E6E70"/>
    <w:rsid w:val="1B59512F"/>
    <w:rsid w:val="1B5A3F4A"/>
    <w:rsid w:val="1B5E40A8"/>
    <w:rsid w:val="1B5F1008"/>
    <w:rsid w:val="1B627B58"/>
    <w:rsid w:val="1B733A2A"/>
    <w:rsid w:val="1B94115F"/>
    <w:rsid w:val="1BA431B2"/>
    <w:rsid w:val="1BB365F3"/>
    <w:rsid w:val="1BC10586"/>
    <w:rsid w:val="1BC54365"/>
    <w:rsid w:val="1BD07717"/>
    <w:rsid w:val="1BDF5A80"/>
    <w:rsid w:val="1BE4159D"/>
    <w:rsid w:val="1C0004B0"/>
    <w:rsid w:val="1C0D1A5D"/>
    <w:rsid w:val="1C2019B2"/>
    <w:rsid w:val="1C32170B"/>
    <w:rsid w:val="1C8416D6"/>
    <w:rsid w:val="1C8474D8"/>
    <w:rsid w:val="1C8559CB"/>
    <w:rsid w:val="1CA31F8B"/>
    <w:rsid w:val="1CA809F4"/>
    <w:rsid w:val="1CB23EB4"/>
    <w:rsid w:val="1CC51188"/>
    <w:rsid w:val="1CE02C7F"/>
    <w:rsid w:val="1CF334CA"/>
    <w:rsid w:val="1CF814E3"/>
    <w:rsid w:val="1D271DC8"/>
    <w:rsid w:val="1D2C287E"/>
    <w:rsid w:val="1D2D3966"/>
    <w:rsid w:val="1D5121E2"/>
    <w:rsid w:val="1D580F2E"/>
    <w:rsid w:val="1D5E2BC3"/>
    <w:rsid w:val="1D5F7790"/>
    <w:rsid w:val="1D6445C8"/>
    <w:rsid w:val="1D7522E4"/>
    <w:rsid w:val="1D9234FF"/>
    <w:rsid w:val="1DB71DAD"/>
    <w:rsid w:val="1DBA2DEE"/>
    <w:rsid w:val="1DBE3FD9"/>
    <w:rsid w:val="1DD42503"/>
    <w:rsid w:val="1DDB3D28"/>
    <w:rsid w:val="1DE06110"/>
    <w:rsid w:val="1DF91339"/>
    <w:rsid w:val="1E07097F"/>
    <w:rsid w:val="1E2C4537"/>
    <w:rsid w:val="1E2E7514"/>
    <w:rsid w:val="1E607D5D"/>
    <w:rsid w:val="1E9A0DC1"/>
    <w:rsid w:val="1E9F4885"/>
    <w:rsid w:val="1EAF41D1"/>
    <w:rsid w:val="1EAF54E3"/>
    <w:rsid w:val="1EB12D29"/>
    <w:rsid w:val="1EB65311"/>
    <w:rsid w:val="1EBB4B79"/>
    <w:rsid w:val="1EE61E16"/>
    <w:rsid w:val="1F1047DC"/>
    <w:rsid w:val="1F182F49"/>
    <w:rsid w:val="1F270656"/>
    <w:rsid w:val="1F330E55"/>
    <w:rsid w:val="1F443CB9"/>
    <w:rsid w:val="1F470BBB"/>
    <w:rsid w:val="1F4A75C3"/>
    <w:rsid w:val="1F544AD9"/>
    <w:rsid w:val="1F5A6BE4"/>
    <w:rsid w:val="1F5F1E04"/>
    <w:rsid w:val="1F6139B2"/>
    <w:rsid w:val="1F663ECD"/>
    <w:rsid w:val="1F7C7944"/>
    <w:rsid w:val="1F7E26B9"/>
    <w:rsid w:val="1F803AB6"/>
    <w:rsid w:val="1F8109DC"/>
    <w:rsid w:val="1FB929FF"/>
    <w:rsid w:val="1FBF31F3"/>
    <w:rsid w:val="1FC121CB"/>
    <w:rsid w:val="1FD1346C"/>
    <w:rsid w:val="1FD92325"/>
    <w:rsid w:val="1FDC68F2"/>
    <w:rsid w:val="200A1BC3"/>
    <w:rsid w:val="201A0114"/>
    <w:rsid w:val="201C7BDE"/>
    <w:rsid w:val="204071A3"/>
    <w:rsid w:val="20432498"/>
    <w:rsid w:val="204845B8"/>
    <w:rsid w:val="20564E9E"/>
    <w:rsid w:val="20CC7C22"/>
    <w:rsid w:val="20DC02F2"/>
    <w:rsid w:val="20E6248F"/>
    <w:rsid w:val="20FF40A6"/>
    <w:rsid w:val="2107261C"/>
    <w:rsid w:val="211017CA"/>
    <w:rsid w:val="21256CC1"/>
    <w:rsid w:val="212E58FF"/>
    <w:rsid w:val="215F7D83"/>
    <w:rsid w:val="216E53E7"/>
    <w:rsid w:val="21895953"/>
    <w:rsid w:val="218B6B0B"/>
    <w:rsid w:val="219D2E13"/>
    <w:rsid w:val="21A454C8"/>
    <w:rsid w:val="21A84DB6"/>
    <w:rsid w:val="21B95377"/>
    <w:rsid w:val="22047EDC"/>
    <w:rsid w:val="2206685F"/>
    <w:rsid w:val="223179BD"/>
    <w:rsid w:val="223728B2"/>
    <w:rsid w:val="223B3292"/>
    <w:rsid w:val="223C6D39"/>
    <w:rsid w:val="224F4ABC"/>
    <w:rsid w:val="22503F4C"/>
    <w:rsid w:val="22631AF5"/>
    <w:rsid w:val="228F1442"/>
    <w:rsid w:val="229D6DB5"/>
    <w:rsid w:val="22A805E7"/>
    <w:rsid w:val="22B37CB5"/>
    <w:rsid w:val="22CE51C0"/>
    <w:rsid w:val="22E21678"/>
    <w:rsid w:val="230E0B26"/>
    <w:rsid w:val="2323290D"/>
    <w:rsid w:val="232D2EBB"/>
    <w:rsid w:val="234862F0"/>
    <w:rsid w:val="2385372D"/>
    <w:rsid w:val="239A2C3A"/>
    <w:rsid w:val="239D7998"/>
    <w:rsid w:val="23A56920"/>
    <w:rsid w:val="23B91729"/>
    <w:rsid w:val="23C47ABA"/>
    <w:rsid w:val="23D81FDE"/>
    <w:rsid w:val="23E6596C"/>
    <w:rsid w:val="23EC0C7E"/>
    <w:rsid w:val="23F46EA8"/>
    <w:rsid w:val="240515FE"/>
    <w:rsid w:val="2414570A"/>
    <w:rsid w:val="241B3B11"/>
    <w:rsid w:val="243241F0"/>
    <w:rsid w:val="2436116F"/>
    <w:rsid w:val="2439611D"/>
    <w:rsid w:val="243A30FD"/>
    <w:rsid w:val="24596D0B"/>
    <w:rsid w:val="24767663"/>
    <w:rsid w:val="24791B67"/>
    <w:rsid w:val="24994A81"/>
    <w:rsid w:val="24EB26BD"/>
    <w:rsid w:val="24EE7B19"/>
    <w:rsid w:val="24EF58C2"/>
    <w:rsid w:val="24FC093A"/>
    <w:rsid w:val="24FC16C7"/>
    <w:rsid w:val="24FF332C"/>
    <w:rsid w:val="25024F43"/>
    <w:rsid w:val="250668E4"/>
    <w:rsid w:val="253A29C7"/>
    <w:rsid w:val="253B63A2"/>
    <w:rsid w:val="254B711A"/>
    <w:rsid w:val="254D1B94"/>
    <w:rsid w:val="25590B49"/>
    <w:rsid w:val="257E1CC1"/>
    <w:rsid w:val="2582412A"/>
    <w:rsid w:val="258E2559"/>
    <w:rsid w:val="259212FB"/>
    <w:rsid w:val="25924832"/>
    <w:rsid w:val="25976984"/>
    <w:rsid w:val="26096548"/>
    <w:rsid w:val="26207919"/>
    <w:rsid w:val="262E4604"/>
    <w:rsid w:val="2632693A"/>
    <w:rsid w:val="264C4087"/>
    <w:rsid w:val="265112D7"/>
    <w:rsid w:val="26575875"/>
    <w:rsid w:val="265D0212"/>
    <w:rsid w:val="265F2C81"/>
    <w:rsid w:val="266438E1"/>
    <w:rsid w:val="267D5AB4"/>
    <w:rsid w:val="267E0CAB"/>
    <w:rsid w:val="26813261"/>
    <w:rsid w:val="268153DD"/>
    <w:rsid w:val="26931913"/>
    <w:rsid w:val="26963CF1"/>
    <w:rsid w:val="26A526DC"/>
    <w:rsid w:val="26A5768E"/>
    <w:rsid w:val="26B8134C"/>
    <w:rsid w:val="26BB3CAD"/>
    <w:rsid w:val="26BF5BD7"/>
    <w:rsid w:val="26D81A44"/>
    <w:rsid w:val="26DB004C"/>
    <w:rsid w:val="26ED14F9"/>
    <w:rsid w:val="2700280A"/>
    <w:rsid w:val="2703184A"/>
    <w:rsid w:val="270A1FC0"/>
    <w:rsid w:val="270A6986"/>
    <w:rsid w:val="270E69D6"/>
    <w:rsid w:val="27111B1F"/>
    <w:rsid w:val="27117D71"/>
    <w:rsid w:val="271416B9"/>
    <w:rsid w:val="27155715"/>
    <w:rsid w:val="272764BC"/>
    <w:rsid w:val="27352CEF"/>
    <w:rsid w:val="2738083D"/>
    <w:rsid w:val="274F44BD"/>
    <w:rsid w:val="276E0D20"/>
    <w:rsid w:val="27777ECB"/>
    <w:rsid w:val="277D0F63"/>
    <w:rsid w:val="277F5025"/>
    <w:rsid w:val="27A77772"/>
    <w:rsid w:val="27AC2679"/>
    <w:rsid w:val="27C64469"/>
    <w:rsid w:val="27CB6172"/>
    <w:rsid w:val="27E247B2"/>
    <w:rsid w:val="27EE4311"/>
    <w:rsid w:val="27F305C7"/>
    <w:rsid w:val="27F8364B"/>
    <w:rsid w:val="280609A4"/>
    <w:rsid w:val="28082638"/>
    <w:rsid w:val="282D173C"/>
    <w:rsid w:val="283E2A52"/>
    <w:rsid w:val="28431BE3"/>
    <w:rsid w:val="286119A2"/>
    <w:rsid w:val="286C74DE"/>
    <w:rsid w:val="286F2FA1"/>
    <w:rsid w:val="2874645B"/>
    <w:rsid w:val="2875146F"/>
    <w:rsid w:val="28920A3E"/>
    <w:rsid w:val="28A249C1"/>
    <w:rsid w:val="28A563BE"/>
    <w:rsid w:val="28C0525B"/>
    <w:rsid w:val="28CC2A3E"/>
    <w:rsid w:val="28F424C0"/>
    <w:rsid w:val="28FC18A0"/>
    <w:rsid w:val="29015BC3"/>
    <w:rsid w:val="291F310A"/>
    <w:rsid w:val="292F6534"/>
    <w:rsid w:val="29554ECD"/>
    <w:rsid w:val="295B5D10"/>
    <w:rsid w:val="298B7936"/>
    <w:rsid w:val="29905DAD"/>
    <w:rsid w:val="29921D89"/>
    <w:rsid w:val="299449E9"/>
    <w:rsid w:val="29AC1A11"/>
    <w:rsid w:val="29B25573"/>
    <w:rsid w:val="29CE5F76"/>
    <w:rsid w:val="29F714A0"/>
    <w:rsid w:val="29FE7C75"/>
    <w:rsid w:val="2A0433B3"/>
    <w:rsid w:val="2A08023F"/>
    <w:rsid w:val="2A0D4FF5"/>
    <w:rsid w:val="2A3D099D"/>
    <w:rsid w:val="2A4F0978"/>
    <w:rsid w:val="2A637C85"/>
    <w:rsid w:val="2A8B7E3A"/>
    <w:rsid w:val="2A9925DF"/>
    <w:rsid w:val="2A9A152D"/>
    <w:rsid w:val="2AA831F2"/>
    <w:rsid w:val="2AA96CC4"/>
    <w:rsid w:val="2AB47C5E"/>
    <w:rsid w:val="2AC120BE"/>
    <w:rsid w:val="2AD71E21"/>
    <w:rsid w:val="2AFE7209"/>
    <w:rsid w:val="2B2479B3"/>
    <w:rsid w:val="2B3A1BFB"/>
    <w:rsid w:val="2B451241"/>
    <w:rsid w:val="2B4A5600"/>
    <w:rsid w:val="2B524776"/>
    <w:rsid w:val="2B8701D1"/>
    <w:rsid w:val="2B97425A"/>
    <w:rsid w:val="2BBD43D2"/>
    <w:rsid w:val="2BBF5FEE"/>
    <w:rsid w:val="2BC34213"/>
    <w:rsid w:val="2BCF0FC1"/>
    <w:rsid w:val="2BCF6866"/>
    <w:rsid w:val="2BDC22D5"/>
    <w:rsid w:val="2C1C5B9B"/>
    <w:rsid w:val="2C434044"/>
    <w:rsid w:val="2C4B7881"/>
    <w:rsid w:val="2C4F225D"/>
    <w:rsid w:val="2C5141ED"/>
    <w:rsid w:val="2C7A0167"/>
    <w:rsid w:val="2C802E20"/>
    <w:rsid w:val="2C995D07"/>
    <w:rsid w:val="2CAD754F"/>
    <w:rsid w:val="2CCA7D44"/>
    <w:rsid w:val="2CD02F96"/>
    <w:rsid w:val="2CD23502"/>
    <w:rsid w:val="2CFE0A08"/>
    <w:rsid w:val="2D0F3F97"/>
    <w:rsid w:val="2D260121"/>
    <w:rsid w:val="2D2E114F"/>
    <w:rsid w:val="2D3D217E"/>
    <w:rsid w:val="2D460A41"/>
    <w:rsid w:val="2D4D24A4"/>
    <w:rsid w:val="2D5E607D"/>
    <w:rsid w:val="2D63448C"/>
    <w:rsid w:val="2D7167CC"/>
    <w:rsid w:val="2D7C71FB"/>
    <w:rsid w:val="2D7D0190"/>
    <w:rsid w:val="2D893578"/>
    <w:rsid w:val="2D8B533C"/>
    <w:rsid w:val="2DE03FF9"/>
    <w:rsid w:val="2DEB3C83"/>
    <w:rsid w:val="2DF458F2"/>
    <w:rsid w:val="2DF52CAD"/>
    <w:rsid w:val="2DFD2593"/>
    <w:rsid w:val="2E0B206F"/>
    <w:rsid w:val="2E136AA5"/>
    <w:rsid w:val="2E1A70D4"/>
    <w:rsid w:val="2E1F613B"/>
    <w:rsid w:val="2E243D81"/>
    <w:rsid w:val="2E3132D8"/>
    <w:rsid w:val="2E491ADF"/>
    <w:rsid w:val="2E532B62"/>
    <w:rsid w:val="2E72193C"/>
    <w:rsid w:val="2E8C1E92"/>
    <w:rsid w:val="2EA230D6"/>
    <w:rsid w:val="2EA45ABF"/>
    <w:rsid w:val="2EB07E70"/>
    <w:rsid w:val="2EBC6758"/>
    <w:rsid w:val="2F110F46"/>
    <w:rsid w:val="2F184132"/>
    <w:rsid w:val="2F1D227D"/>
    <w:rsid w:val="2F45269A"/>
    <w:rsid w:val="2F4547F0"/>
    <w:rsid w:val="2F455F1D"/>
    <w:rsid w:val="2F544C9F"/>
    <w:rsid w:val="2F584DA4"/>
    <w:rsid w:val="2F6177C3"/>
    <w:rsid w:val="2F807842"/>
    <w:rsid w:val="2F8F60A1"/>
    <w:rsid w:val="2F924133"/>
    <w:rsid w:val="2F927575"/>
    <w:rsid w:val="2FA363C1"/>
    <w:rsid w:val="2FAB24E6"/>
    <w:rsid w:val="2FCC60F9"/>
    <w:rsid w:val="2FF72418"/>
    <w:rsid w:val="2FF73932"/>
    <w:rsid w:val="2FFD0181"/>
    <w:rsid w:val="300264A9"/>
    <w:rsid w:val="301B13F8"/>
    <w:rsid w:val="301C1935"/>
    <w:rsid w:val="30350E00"/>
    <w:rsid w:val="30470360"/>
    <w:rsid w:val="304F33AB"/>
    <w:rsid w:val="305243BA"/>
    <w:rsid w:val="30527223"/>
    <w:rsid w:val="306955AF"/>
    <w:rsid w:val="307571F0"/>
    <w:rsid w:val="308000FE"/>
    <w:rsid w:val="30847806"/>
    <w:rsid w:val="309351A9"/>
    <w:rsid w:val="309537C1"/>
    <w:rsid w:val="30B536E6"/>
    <w:rsid w:val="30C96BEB"/>
    <w:rsid w:val="30DA4C24"/>
    <w:rsid w:val="30F11074"/>
    <w:rsid w:val="30F372A2"/>
    <w:rsid w:val="31194FBA"/>
    <w:rsid w:val="312D26B5"/>
    <w:rsid w:val="31331EC5"/>
    <w:rsid w:val="3133336B"/>
    <w:rsid w:val="31374C9F"/>
    <w:rsid w:val="31376626"/>
    <w:rsid w:val="313A002C"/>
    <w:rsid w:val="314D0D5D"/>
    <w:rsid w:val="31594303"/>
    <w:rsid w:val="31756602"/>
    <w:rsid w:val="317C65E3"/>
    <w:rsid w:val="31AC630C"/>
    <w:rsid w:val="31B904DF"/>
    <w:rsid w:val="31C02AC8"/>
    <w:rsid w:val="31C7249B"/>
    <w:rsid w:val="31E140D9"/>
    <w:rsid w:val="31F0355B"/>
    <w:rsid w:val="31F55C31"/>
    <w:rsid w:val="32293EB0"/>
    <w:rsid w:val="32392510"/>
    <w:rsid w:val="323E5792"/>
    <w:rsid w:val="324B3C71"/>
    <w:rsid w:val="32564016"/>
    <w:rsid w:val="32566F80"/>
    <w:rsid w:val="325D260D"/>
    <w:rsid w:val="32641AAC"/>
    <w:rsid w:val="329037E6"/>
    <w:rsid w:val="329566A3"/>
    <w:rsid w:val="329655CE"/>
    <w:rsid w:val="32AA0448"/>
    <w:rsid w:val="32AF343E"/>
    <w:rsid w:val="32B13719"/>
    <w:rsid w:val="32B42F48"/>
    <w:rsid w:val="32C75B5F"/>
    <w:rsid w:val="32CF3927"/>
    <w:rsid w:val="32D243A9"/>
    <w:rsid w:val="32E552B6"/>
    <w:rsid w:val="32F91B95"/>
    <w:rsid w:val="33117F8B"/>
    <w:rsid w:val="3317335F"/>
    <w:rsid w:val="331C3026"/>
    <w:rsid w:val="331D7634"/>
    <w:rsid w:val="33215B2F"/>
    <w:rsid w:val="33293576"/>
    <w:rsid w:val="332D0F56"/>
    <w:rsid w:val="335232E7"/>
    <w:rsid w:val="335331C4"/>
    <w:rsid w:val="33693563"/>
    <w:rsid w:val="33833DA5"/>
    <w:rsid w:val="338C3D53"/>
    <w:rsid w:val="33B61BE4"/>
    <w:rsid w:val="33BC0C6E"/>
    <w:rsid w:val="33C4755C"/>
    <w:rsid w:val="33C93EFE"/>
    <w:rsid w:val="33CE3F2D"/>
    <w:rsid w:val="33D00611"/>
    <w:rsid w:val="33DB7655"/>
    <w:rsid w:val="33E16D1D"/>
    <w:rsid w:val="33ED3D18"/>
    <w:rsid w:val="34376337"/>
    <w:rsid w:val="34432352"/>
    <w:rsid w:val="344764A2"/>
    <w:rsid w:val="3454334A"/>
    <w:rsid w:val="34622970"/>
    <w:rsid w:val="34781747"/>
    <w:rsid w:val="347A0988"/>
    <w:rsid w:val="347A66AA"/>
    <w:rsid w:val="347C1489"/>
    <w:rsid w:val="349124F1"/>
    <w:rsid w:val="3491591F"/>
    <w:rsid w:val="349C5457"/>
    <w:rsid w:val="34A7480B"/>
    <w:rsid w:val="34BD6E42"/>
    <w:rsid w:val="34D07105"/>
    <w:rsid w:val="34E167A5"/>
    <w:rsid w:val="34F00667"/>
    <w:rsid w:val="34F72932"/>
    <w:rsid w:val="34F81621"/>
    <w:rsid w:val="352A5349"/>
    <w:rsid w:val="352C084C"/>
    <w:rsid w:val="35313147"/>
    <w:rsid w:val="35337105"/>
    <w:rsid w:val="3536291F"/>
    <w:rsid w:val="35635C3C"/>
    <w:rsid w:val="35840B60"/>
    <w:rsid w:val="35993F12"/>
    <w:rsid w:val="35A40002"/>
    <w:rsid w:val="35A62714"/>
    <w:rsid w:val="35CA5CBB"/>
    <w:rsid w:val="35D905E4"/>
    <w:rsid w:val="35DC7FDE"/>
    <w:rsid w:val="361E10D9"/>
    <w:rsid w:val="363F4E6F"/>
    <w:rsid w:val="365B41D4"/>
    <w:rsid w:val="366034B7"/>
    <w:rsid w:val="368038AD"/>
    <w:rsid w:val="36832FFC"/>
    <w:rsid w:val="368339FF"/>
    <w:rsid w:val="36960603"/>
    <w:rsid w:val="369E0DB3"/>
    <w:rsid w:val="36B2192F"/>
    <w:rsid w:val="36CD2E19"/>
    <w:rsid w:val="36D95893"/>
    <w:rsid w:val="36DF0A4F"/>
    <w:rsid w:val="36E57444"/>
    <w:rsid w:val="3722371C"/>
    <w:rsid w:val="372C7F91"/>
    <w:rsid w:val="372D224F"/>
    <w:rsid w:val="37321F66"/>
    <w:rsid w:val="37356DA5"/>
    <w:rsid w:val="373C72E1"/>
    <w:rsid w:val="374E1630"/>
    <w:rsid w:val="37516EE5"/>
    <w:rsid w:val="37613C01"/>
    <w:rsid w:val="37726157"/>
    <w:rsid w:val="3777308B"/>
    <w:rsid w:val="377D7C9E"/>
    <w:rsid w:val="37B427BA"/>
    <w:rsid w:val="37B456D8"/>
    <w:rsid w:val="37B51893"/>
    <w:rsid w:val="37B61E0A"/>
    <w:rsid w:val="37D07E37"/>
    <w:rsid w:val="37F461A6"/>
    <w:rsid w:val="37FE27F7"/>
    <w:rsid w:val="380E4C21"/>
    <w:rsid w:val="381C67F8"/>
    <w:rsid w:val="386A4FF0"/>
    <w:rsid w:val="38714223"/>
    <w:rsid w:val="38A65E3F"/>
    <w:rsid w:val="38AE60D2"/>
    <w:rsid w:val="38B0208B"/>
    <w:rsid w:val="38CF35C2"/>
    <w:rsid w:val="38DD0E6C"/>
    <w:rsid w:val="38E421AF"/>
    <w:rsid w:val="38EC500C"/>
    <w:rsid w:val="38FA01DC"/>
    <w:rsid w:val="38FB7D67"/>
    <w:rsid w:val="39177242"/>
    <w:rsid w:val="39511E95"/>
    <w:rsid w:val="39515C61"/>
    <w:rsid w:val="395172D9"/>
    <w:rsid w:val="397419CF"/>
    <w:rsid w:val="3985250B"/>
    <w:rsid w:val="3991374E"/>
    <w:rsid w:val="39D54C2E"/>
    <w:rsid w:val="39F918FB"/>
    <w:rsid w:val="3A097F6C"/>
    <w:rsid w:val="3A220937"/>
    <w:rsid w:val="3A40758D"/>
    <w:rsid w:val="3A500759"/>
    <w:rsid w:val="3A580F49"/>
    <w:rsid w:val="3A5C364C"/>
    <w:rsid w:val="3A697BFF"/>
    <w:rsid w:val="3A7A3893"/>
    <w:rsid w:val="3A833F38"/>
    <w:rsid w:val="3A8A5886"/>
    <w:rsid w:val="3A8B3468"/>
    <w:rsid w:val="3A9F1E2C"/>
    <w:rsid w:val="3AA02122"/>
    <w:rsid w:val="3AA45DC2"/>
    <w:rsid w:val="3AB365A7"/>
    <w:rsid w:val="3AB67065"/>
    <w:rsid w:val="3AC17A44"/>
    <w:rsid w:val="3AD46C94"/>
    <w:rsid w:val="3AE4641D"/>
    <w:rsid w:val="3AED76BF"/>
    <w:rsid w:val="3AFA7744"/>
    <w:rsid w:val="3B0122C9"/>
    <w:rsid w:val="3B2D5B73"/>
    <w:rsid w:val="3B5505EE"/>
    <w:rsid w:val="3B8C4078"/>
    <w:rsid w:val="3B9F74E1"/>
    <w:rsid w:val="3BBF5492"/>
    <w:rsid w:val="3BEA5A33"/>
    <w:rsid w:val="3C06788C"/>
    <w:rsid w:val="3C1D10AF"/>
    <w:rsid w:val="3C1F0818"/>
    <w:rsid w:val="3C1F45B2"/>
    <w:rsid w:val="3C202B58"/>
    <w:rsid w:val="3C830972"/>
    <w:rsid w:val="3C850B8E"/>
    <w:rsid w:val="3C8A5E5F"/>
    <w:rsid w:val="3C8D359E"/>
    <w:rsid w:val="3CA07775"/>
    <w:rsid w:val="3CB2276E"/>
    <w:rsid w:val="3CBE5E71"/>
    <w:rsid w:val="3CC37AA1"/>
    <w:rsid w:val="3CD01D9A"/>
    <w:rsid w:val="3CE17EFA"/>
    <w:rsid w:val="3CE70CE3"/>
    <w:rsid w:val="3CFA1CE0"/>
    <w:rsid w:val="3CFE26EE"/>
    <w:rsid w:val="3CFE4B18"/>
    <w:rsid w:val="3D0B0102"/>
    <w:rsid w:val="3D2322CC"/>
    <w:rsid w:val="3D3F26DE"/>
    <w:rsid w:val="3D414F47"/>
    <w:rsid w:val="3D575C12"/>
    <w:rsid w:val="3D664128"/>
    <w:rsid w:val="3D8450C2"/>
    <w:rsid w:val="3D921E21"/>
    <w:rsid w:val="3D9F7F26"/>
    <w:rsid w:val="3DA0046F"/>
    <w:rsid w:val="3DA90835"/>
    <w:rsid w:val="3DAF0416"/>
    <w:rsid w:val="3DCA0624"/>
    <w:rsid w:val="3DDA0E10"/>
    <w:rsid w:val="3DED14C7"/>
    <w:rsid w:val="3DF17D30"/>
    <w:rsid w:val="3DF510ED"/>
    <w:rsid w:val="3DFA2EB5"/>
    <w:rsid w:val="3DFF7046"/>
    <w:rsid w:val="3E054CFE"/>
    <w:rsid w:val="3E135CE6"/>
    <w:rsid w:val="3E1422CB"/>
    <w:rsid w:val="3E18158D"/>
    <w:rsid w:val="3E191B04"/>
    <w:rsid w:val="3E2E423A"/>
    <w:rsid w:val="3E2F74D0"/>
    <w:rsid w:val="3E3B3D5F"/>
    <w:rsid w:val="3E665773"/>
    <w:rsid w:val="3E8B32E7"/>
    <w:rsid w:val="3E9A31D0"/>
    <w:rsid w:val="3E9E2047"/>
    <w:rsid w:val="3EA300D9"/>
    <w:rsid w:val="3EBF762C"/>
    <w:rsid w:val="3EDC080D"/>
    <w:rsid w:val="3EDD0711"/>
    <w:rsid w:val="3EF576B1"/>
    <w:rsid w:val="3F1E7077"/>
    <w:rsid w:val="3F232973"/>
    <w:rsid w:val="3F283450"/>
    <w:rsid w:val="3F2E5FFC"/>
    <w:rsid w:val="3F323A0C"/>
    <w:rsid w:val="3F3B1D10"/>
    <w:rsid w:val="3F4D63F4"/>
    <w:rsid w:val="3F6103BB"/>
    <w:rsid w:val="3F674836"/>
    <w:rsid w:val="3F787855"/>
    <w:rsid w:val="3F8E3B26"/>
    <w:rsid w:val="3F9E546D"/>
    <w:rsid w:val="3F9E7391"/>
    <w:rsid w:val="3FA4132B"/>
    <w:rsid w:val="3FA4757D"/>
    <w:rsid w:val="3FC4377B"/>
    <w:rsid w:val="3FD90609"/>
    <w:rsid w:val="3FD9352E"/>
    <w:rsid w:val="3FE917B5"/>
    <w:rsid w:val="3FF30E36"/>
    <w:rsid w:val="403027DE"/>
    <w:rsid w:val="40397AC2"/>
    <w:rsid w:val="40436F8B"/>
    <w:rsid w:val="40464E57"/>
    <w:rsid w:val="40503A19"/>
    <w:rsid w:val="40523C72"/>
    <w:rsid w:val="40703BE1"/>
    <w:rsid w:val="407C4DD4"/>
    <w:rsid w:val="40825967"/>
    <w:rsid w:val="40863A3A"/>
    <w:rsid w:val="40D54ED7"/>
    <w:rsid w:val="40D90181"/>
    <w:rsid w:val="40DD5F87"/>
    <w:rsid w:val="410C796A"/>
    <w:rsid w:val="41271A71"/>
    <w:rsid w:val="413A7228"/>
    <w:rsid w:val="414C1C7A"/>
    <w:rsid w:val="414E180E"/>
    <w:rsid w:val="415148FC"/>
    <w:rsid w:val="415664FB"/>
    <w:rsid w:val="41671C27"/>
    <w:rsid w:val="417C4657"/>
    <w:rsid w:val="4185788C"/>
    <w:rsid w:val="41A31666"/>
    <w:rsid w:val="41B817AB"/>
    <w:rsid w:val="41BA6A61"/>
    <w:rsid w:val="41CB41BA"/>
    <w:rsid w:val="41D75EBE"/>
    <w:rsid w:val="41D87EA4"/>
    <w:rsid w:val="41EE2429"/>
    <w:rsid w:val="41F9622A"/>
    <w:rsid w:val="420E1D6F"/>
    <w:rsid w:val="42162BCE"/>
    <w:rsid w:val="42175776"/>
    <w:rsid w:val="42223E09"/>
    <w:rsid w:val="4236608D"/>
    <w:rsid w:val="42621B9B"/>
    <w:rsid w:val="427A361C"/>
    <w:rsid w:val="42823AD2"/>
    <w:rsid w:val="42CA3777"/>
    <w:rsid w:val="42CF125A"/>
    <w:rsid w:val="43052529"/>
    <w:rsid w:val="43087A08"/>
    <w:rsid w:val="43285262"/>
    <w:rsid w:val="432A5FEB"/>
    <w:rsid w:val="43587037"/>
    <w:rsid w:val="43627DFA"/>
    <w:rsid w:val="436332AB"/>
    <w:rsid w:val="43715641"/>
    <w:rsid w:val="437A51E6"/>
    <w:rsid w:val="438E1AA3"/>
    <w:rsid w:val="439E3C4F"/>
    <w:rsid w:val="43B10960"/>
    <w:rsid w:val="43C3265C"/>
    <w:rsid w:val="43C36925"/>
    <w:rsid w:val="43D55FF5"/>
    <w:rsid w:val="43E577CE"/>
    <w:rsid w:val="43EF0931"/>
    <w:rsid w:val="43FD54AD"/>
    <w:rsid w:val="44056DD1"/>
    <w:rsid w:val="445D4931"/>
    <w:rsid w:val="4472338F"/>
    <w:rsid w:val="44AE0556"/>
    <w:rsid w:val="44BE3901"/>
    <w:rsid w:val="44DA5ADC"/>
    <w:rsid w:val="44E56C9B"/>
    <w:rsid w:val="44E57759"/>
    <w:rsid w:val="44FA23B6"/>
    <w:rsid w:val="44FB1794"/>
    <w:rsid w:val="44FB17E0"/>
    <w:rsid w:val="450C15A1"/>
    <w:rsid w:val="452A0987"/>
    <w:rsid w:val="4542595F"/>
    <w:rsid w:val="45582DE8"/>
    <w:rsid w:val="456F6873"/>
    <w:rsid w:val="457D2990"/>
    <w:rsid w:val="4582269B"/>
    <w:rsid w:val="458D3247"/>
    <w:rsid w:val="45962AB6"/>
    <w:rsid w:val="45BD6032"/>
    <w:rsid w:val="45BE1328"/>
    <w:rsid w:val="45CA720B"/>
    <w:rsid w:val="45D233E4"/>
    <w:rsid w:val="45E226B4"/>
    <w:rsid w:val="45EA3213"/>
    <w:rsid w:val="46065761"/>
    <w:rsid w:val="461D75D3"/>
    <w:rsid w:val="462D72B0"/>
    <w:rsid w:val="46334712"/>
    <w:rsid w:val="463B22BD"/>
    <w:rsid w:val="46694221"/>
    <w:rsid w:val="46703CA4"/>
    <w:rsid w:val="467C4AB1"/>
    <w:rsid w:val="4682443E"/>
    <w:rsid w:val="469B5980"/>
    <w:rsid w:val="469E5204"/>
    <w:rsid w:val="46A005E2"/>
    <w:rsid w:val="46AB5978"/>
    <w:rsid w:val="46C00230"/>
    <w:rsid w:val="46D67135"/>
    <w:rsid w:val="46E37CD8"/>
    <w:rsid w:val="46F87C7E"/>
    <w:rsid w:val="46FD7889"/>
    <w:rsid w:val="47135CD9"/>
    <w:rsid w:val="47241DC7"/>
    <w:rsid w:val="4730365B"/>
    <w:rsid w:val="47321CB3"/>
    <w:rsid w:val="47365564"/>
    <w:rsid w:val="473E6BA7"/>
    <w:rsid w:val="475A38C7"/>
    <w:rsid w:val="47752ACA"/>
    <w:rsid w:val="47871D93"/>
    <w:rsid w:val="47947AFC"/>
    <w:rsid w:val="479C4F08"/>
    <w:rsid w:val="47A23566"/>
    <w:rsid w:val="47E9088B"/>
    <w:rsid w:val="47EB00E1"/>
    <w:rsid w:val="48046EB6"/>
    <w:rsid w:val="4831667E"/>
    <w:rsid w:val="483B12E8"/>
    <w:rsid w:val="483C5C4D"/>
    <w:rsid w:val="487424C7"/>
    <w:rsid w:val="4884619D"/>
    <w:rsid w:val="488C32C0"/>
    <w:rsid w:val="489B6AA9"/>
    <w:rsid w:val="48B34355"/>
    <w:rsid w:val="48BC2453"/>
    <w:rsid w:val="48C12ABB"/>
    <w:rsid w:val="48C427E8"/>
    <w:rsid w:val="48C536F1"/>
    <w:rsid w:val="48E93F1D"/>
    <w:rsid w:val="48F046E8"/>
    <w:rsid w:val="48FD7CFE"/>
    <w:rsid w:val="48FE4DD0"/>
    <w:rsid w:val="490270C2"/>
    <w:rsid w:val="49064E04"/>
    <w:rsid w:val="491060AA"/>
    <w:rsid w:val="4911757A"/>
    <w:rsid w:val="491646DC"/>
    <w:rsid w:val="491A51A5"/>
    <w:rsid w:val="4923354C"/>
    <w:rsid w:val="493229EA"/>
    <w:rsid w:val="4936409E"/>
    <w:rsid w:val="494667B0"/>
    <w:rsid w:val="4949378E"/>
    <w:rsid w:val="49577BD3"/>
    <w:rsid w:val="49660D06"/>
    <w:rsid w:val="497E27F6"/>
    <w:rsid w:val="49865F45"/>
    <w:rsid w:val="498F534E"/>
    <w:rsid w:val="498F5D39"/>
    <w:rsid w:val="49994D4E"/>
    <w:rsid w:val="49B272F8"/>
    <w:rsid w:val="49E27247"/>
    <w:rsid w:val="49F66244"/>
    <w:rsid w:val="4A010A3C"/>
    <w:rsid w:val="4A02434A"/>
    <w:rsid w:val="4A310898"/>
    <w:rsid w:val="4A510FF6"/>
    <w:rsid w:val="4A612BBA"/>
    <w:rsid w:val="4A655152"/>
    <w:rsid w:val="4A7D3D19"/>
    <w:rsid w:val="4A7E61E2"/>
    <w:rsid w:val="4A8A461F"/>
    <w:rsid w:val="4A941D73"/>
    <w:rsid w:val="4A94754F"/>
    <w:rsid w:val="4A9A3FAA"/>
    <w:rsid w:val="4AAF7A0D"/>
    <w:rsid w:val="4AC14156"/>
    <w:rsid w:val="4AEE2FBE"/>
    <w:rsid w:val="4AF53986"/>
    <w:rsid w:val="4AFD5FC7"/>
    <w:rsid w:val="4B077E62"/>
    <w:rsid w:val="4B266035"/>
    <w:rsid w:val="4B2B2900"/>
    <w:rsid w:val="4B503F2F"/>
    <w:rsid w:val="4B65350E"/>
    <w:rsid w:val="4B7C1CD1"/>
    <w:rsid w:val="4B7F0E9E"/>
    <w:rsid w:val="4B817A96"/>
    <w:rsid w:val="4BAE0CD4"/>
    <w:rsid w:val="4BB9615E"/>
    <w:rsid w:val="4BEF5C04"/>
    <w:rsid w:val="4BF4363A"/>
    <w:rsid w:val="4C172B37"/>
    <w:rsid w:val="4C207333"/>
    <w:rsid w:val="4C2241E2"/>
    <w:rsid w:val="4C334692"/>
    <w:rsid w:val="4C341C88"/>
    <w:rsid w:val="4C3E5519"/>
    <w:rsid w:val="4C572374"/>
    <w:rsid w:val="4C5A5DB4"/>
    <w:rsid w:val="4C6912E9"/>
    <w:rsid w:val="4C812237"/>
    <w:rsid w:val="4C922BA5"/>
    <w:rsid w:val="4CAF45DA"/>
    <w:rsid w:val="4CC06705"/>
    <w:rsid w:val="4CC34ABB"/>
    <w:rsid w:val="4CD82DB3"/>
    <w:rsid w:val="4CDD6570"/>
    <w:rsid w:val="4D034D26"/>
    <w:rsid w:val="4D152A86"/>
    <w:rsid w:val="4D162ABA"/>
    <w:rsid w:val="4D3A527C"/>
    <w:rsid w:val="4D3D3725"/>
    <w:rsid w:val="4D3F0047"/>
    <w:rsid w:val="4D4D22C2"/>
    <w:rsid w:val="4D501445"/>
    <w:rsid w:val="4D945D44"/>
    <w:rsid w:val="4DB914E7"/>
    <w:rsid w:val="4DC97FAC"/>
    <w:rsid w:val="4DDC5D1D"/>
    <w:rsid w:val="4DFE4DF4"/>
    <w:rsid w:val="4E091986"/>
    <w:rsid w:val="4E146BCA"/>
    <w:rsid w:val="4E1551E0"/>
    <w:rsid w:val="4E1F6679"/>
    <w:rsid w:val="4E4243F2"/>
    <w:rsid w:val="4E4A7541"/>
    <w:rsid w:val="4E4B22AC"/>
    <w:rsid w:val="4E4F4085"/>
    <w:rsid w:val="4E551549"/>
    <w:rsid w:val="4E5726F7"/>
    <w:rsid w:val="4E790C45"/>
    <w:rsid w:val="4E8406DF"/>
    <w:rsid w:val="4E8E6A70"/>
    <w:rsid w:val="4E90024D"/>
    <w:rsid w:val="4E920A1D"/>
    <w:rsid w:val="4EAA69A9"/>
    <w:rsid w:val="4EC94BD4"/>
    <w:rsid w:val="4EDB3AB2"/>
    <w:rsid w:val="4EEF7B12"/>
    <w:rsid w:val="4F05790C"/>
    <w:rsid w:val="4F0F5B35"/>
    <w:rsid w:val="4F1D09A1"/>
    <w:rsid w:val="4F1D78AF"/>
    <w:rsid w:val="4F573F3A"/>
    <w:rsid w:val="4F5812FF"/>
    <w:rsid w:val="4F757BA1"/>
    <w:rsid w:val="4F822792"/>
    <w:rsid w:val="4F867008"/>
    <w:rsid w:val="4F8D1EF4"/>
    <w:rsid w:val="4F9A79DC"/>
    <w:rsid w:val="4FAC6910"/>
    <w:rsid w:val="4FE26024"/>
    <w:rsid w:val="5018119F"/>
    <w:rsid w:val="50303C1D"/>
    <w:rsid w:val="503735A8"/>
    <w:rsid w:val="503C106B"/>
    <w:rsid w:val="5050052A"/>
    <w:rsid w:val="50594680"/>
    <w:rsid w:val="50707740"/>
    <w:rsid w:val="507C0545"/>
    <w:rsid w:val="507D3D1D"/>
    <w:rsid w:val="5084213C"/>
    <w:rsid w:val="508436A7"/>
    <w:rsid w:val="508F51F8"/>
    <w:rsid w:val="50A30A6E"/>
    <w:rsid w:val="50B50083"/>
    <w:rsid w:val="50BA1AC8"/>
    <w:rsid w:val="50E8422A"/>
    <w:rsid w:val="50E929A9"/>
    <w:rsid w:val="50F644D1"/>
    <w:rsid w:val="51024DE1"/>
    <w:rsid w:val="512F3B40"/>
    <w:rsid w:val="513830CE"/>
    <w:rsid w:val="514426F7"/>
    <w:rsid w:val="51600E2A"/>
    <w:rsid w:val="517273AB"/>
    <w:rsid w:val="5179610B"/>
    <w:rsid w:val="518D2CC2"/>
    <w:rsid w:val="518E3BE9"/>
    <w:rsid w:val="518E6557"/>
    <w:rsid w:val="51966BFD"/>
    <w:rsid w:val="51AE05B7"/>
    <w:rsid w:val="51DE19FC"/>
    <w:rsid w:val="51EB04C4"/>
    <w:rsid w:val="51EB6FEB"/>
    <w:rsid w:val="51F11262"/>
    <w:rsid w:val="51F775F0"/>
    <w:rsid w:val="52004B27"/>
    <w:rsid w:val="520E6AD8"/>
    <w:rsid w:val="522A39D8"/>
    <w:rsid w:val="523A1B39"/>
    <w:rsid w:val="52492CB8"/>
    <w:rsid w:val="52524E81"/>
    <w:rsid w:val="52533134"/>
    <w:rsid w:val="525A00A5"/>
    <w:rsid w:val="52616985"/>
    <w:rsid w:val="526437D1"/>
    <w:rsid w:val="5277790A"/>
    <w:rsid w:val="527E3F89"/>
    <w:rsid w:val="527F2139"/>
    <w:rsid w:val="529A745E"/>
    <w:rsid w:val="529D3D17"/>
    <w:rsid w:val="52AC6530"/>
    <w:rsid w:val="52B27E70"/>
    <w:rsid w:val="52B551A5"/>
    <w:rsid w:val="52D43C7C"/>
    <w:rsid w:val="52EC02C4"/>
    <w:rsid w:val="52F05687"/>
    <w:rsid w:val="52F97D96"/>
    <w:rsid w:val="53057EDB"/>
    <w:rsid w:val="530A131D"/>
    <w:rsid w:val="53163533"/>
    <w:rsid w:val="5316745F"/>
    <w:rsid w:val="53397A8C"/>
    <w:rsid w:val="5353572E"/>
    <w:rsid w:val="536F7A4A"/>
    <w:rsid w:val="53937294"/>
    <w:rsid w:val="53A308C7"/>
    <w:rsid w:val="53A664AC"/>
    <w:rsid w:val="53AE424A"/>
    <w:rsid w:val="53B56823"/>
    <w:rsid w:val="53CC1B22"/>
    <w:rsid w:val="53E21E30"/>
    <w:rsid w:val="540A0414"/>
    <w:rsid w:val="540B3F15"/>
    <w:rsid w:val="54176D32"/>
    <w:rsid w:val="541A3EE5"/>
    <w:rsid w:val="54227396"/>
    <w:rsid w:val="542614E7"/>
    <w:rsid w:val="54342B34"/>
    <w:rsid w:val="543728FF"/>
    <w:rsid w:val="54387E3C"/>
    <w:rsid w:val="544B1DEB"/>
    <w:rsid w:val="54655325"/>
    <w:rsid w:val="54692176"/>
    <w:rsid w:val="547349CE"/>
    <w:rsid w:val="547F0B27"/>
    <w:rsid w:val="54AA3ACB"/>
    <w:rsid w:val="54B67FF2"/>
    <w:rsid w:val="54B71D1A"/>
    <w:rsid w:val="54CA4424"/>
    <w:rsid w:val="54D477D4"/>
    <w:rsid w:val="54F41508"/>
    <w:rsid w:val="54FF56C3"/>
    <w:rsid w:val="55026840"/>
    <w:rsid w:val="55155E43"/>
    <w:rsid w:val="55223B4D"/>
    <w:rsid w:val="552C30CC"/>
    <w:rsid w:val="555C5E19"/>
    <w:rsid w:val="5561335A"/>
    <w:rsid w:val="556E2317"/>
    <w:rsid w:val="55BA3179"/>
    <w:rsid w:val="55CD77A0"/>
    <w:rsid w:val="55D32512"/>
    <w:rsid w:val="55E64236"/>
    <w:rsid w:val="55F7472E"/>
    <w:rsid w:val="55F865C9"/>
    <w:rsid w:val="55F94753"/>
    <w:rsid w:val="55FD1C62"/>
    <w:rsid w:val="561342C3"/>
    <w:rsid w:val="56186177"/>
    <w:rsid w:val="561A7173"/>
    <w:rsid w:val="56262F6A"/>
    <w:rsid w:val="56272EBF"/>
    <w:rsid w:val="563034C0"/>
    <w:rsid w:val="564C2C5B"/>
    <w:rsid w:val="56824C41"/>
    <w:rsid w:val="568565CE"/>
    <w:rsid w:val="56885043"/>
    <w:rsid w:val="56937C40"/>
    <w:rsid w:val="56C720AE"/>
    <w:rsid w:val="56CD63A6"/>
    <w:rsid w:val="56F15EAF"/>
    <w:rsid w:val="5710556B"/>
    <w:rsid w:val="57250AB0"/>
    <w:rsid w:val="57276389"/>
    <w:rsid w:val="572B4D8F"/>
    <w:rsid w:val="572C6094"/>
    <w:rsid w:val="57330663"/>
    <w:rsid w:val="5748774C"/>
    <w:rsid w:val="57583A8A"/>
    <w:rsid w:val="57666576"/>
    <w:rsid w:val="57844525"/>
    <w:rsid w:val="57944422"/>
    <w:rsid w:val="579C7FE9"/>
    <w:rsid w:val="57D66BD7"/>
    <w:rsid w:val="57EA4B4A"/>
    <w:rsid w:val="57F347D8"/>
    <w:rsid w:val="58112E7E"/>
    <w:rsid w:val="581257B2"/>
    <w:rsid w:val="58231F12"/>
    <w:rsid w:val="58261100"/>
    <w:rsid w:val="58270A9C"/>
    <w:rsid w:val="5839431A"/>
    <w:rsid w:val="58477C9C"/>
    <w:rsid w:val="58534E68"/>
    <w:rsid w:val="585D2B22"/>
    <w:rsid w:val="5876703D"/>
    <w:rsid w:val="587868B0"/>
    <w:rsid w:val="58881FA2"/>
    <w:rsid w:val="5888547E"/>
    <w:rsid w:val="588E19A2"/>
    <w:rsid w:val="58914DA5"/>
    <w:rsid w:val="58974FCE"/>
    <w:rsid w:val="589F5000"/>
    <w:rsid w:val="58B948E3"/>
    <w:rsid w:val="58BC2FC1"/>
    <w:rsid w:val="58BF0B2C"/>
    <w:rsid w:val="58D13106"/>
    <w:rsid w:val="58E025EA"/>
    <w:rsid w:val="58E32A6C"/>
    <w:rsid w:val="58EA19BA"/>
    <w:rsid w:val="58F86605"/>
    <w:rsid w:val="5925279B"/>
    <w:rsid w:val="593547AC"/>
    <w:rsid w:val="593800D7"/>
    <w:rsid w:val="59485826"/>
    <w:rsid w:val="594A4D8A"/>
    <w:rsid w:val="59596A7F"/>
    <w:rsid w:val="595C637A"/>
    <w:rsid w:val="59607C59"/>
    <w:rsid w:val="59AB4BEF"/>
    <w:rsid w:val="59D40607"/>
    <w:rsid w:val="59D44CEE"/>
    <w:rsid w:val="5A0818F3"/>
    <w:rsid w:val="5A0F617E"/>
    <w:rsid w:val="5A1A4B74"/>
    <w:rsid w:val="5A271621"/>
    <w:rsid w:val="5A4D36B3"/>
    <w:rsid w:val="5A557999"/>
    <w:rsid w:val="5A586D0E"/>
    <w:rsid w:val="5A5E5690"/>
    <w:rsid w:val="5A6C5591"/>
    <w:rsid w:val="5A715E56"/>
    <w:rsid w:val="5A7C7F7B"/>
    <w:rsid w:val="5A7F0959"/>
    <w:rsid w:val="5A837E0F"/>
    <w:rsid w:val="5A882A18"/>
    <w:rsid w:val="5AA965DD"/>
    <w:rsid w:val="5AB27E96"/>
    <w:rsid w:val="5ABA4254"/>
    <w:rsid w:val="5ABE3877"/>
    <w:rsid w:val="5AC82FFD"/>
    <w:rsid w:val="5ADD29F0"/>
    <w:rsid w:val="5AF21F2C"/>
    <w:rsid w:val="5AF4240B"/>
    <w:rsid w:val="5B0F11F3"/>
    <w:rsid w:val="5B165559"/>
    <w:rsid w:val="5B1B517B"/>
    <w:rsid w:val="5B310681"/>
    <w:rsid w:val="5B4A60CF"/>
    <w:rsid w:val="5B585520"/>
    <w:rsid w:val="5B604E82"/>
    <w:rsid w:val="5B753615"/>
    <w:rsid w:val="5B80440F"/>
    <w:rsid w:val="5BB02F26"/>
    <w:rsid w:val="5BBB1350"/>
    <w:rsid w:val="5BC36B85"/>
    <w:rsid w:val="5BC46B35"/>
    <w:rsid w:val="5BD16012"/>
    <w:rsid w:val="5BD166FD"/>
    <w:rsid w:val="5BD804D3"/>
    <w:rsid w:val="5BDE05C6"/>
    <w:rsid w:val="5BDF08CB"/>
    <w:rsid w:val="5BDF6078"/>
    <w:rsid w:val="5BF85219"/>
    <w:rsid w:val="5BF86E1C"/>
    <w:rsid w:val="5C0D7E00"/>
    <w:rsid w:val="5C151545"/>
    <w:rsid w:val="5C1670CD"/>
    <w:rsid w:val="5C283848"/>
    <w:rsid w:val="5C4A4DB6"/>
    <w:rsid w:val="5C525D14"/>
    <w:rsid w:val="5C6D7CB0"/>
    <w:rsid w:val="5C7C1530"/>
    <w:rsid w:val="5C940D80"/>
    <w:rsid w:val="5CA53312"/>
    <w:rsid w:val="5CAE513F"/>
    <w:rsid w:val="5CB27537"/>
    <w:rsid w:val="5CCB4A8E"/>
    <w:rsid w:val="5CD47EB9"/>
    <w:rsid w:val="5CD741AB"/>
    <w:rsid w:val="5CDE7FFF"/>
    <w:rsid w:val="5CF80AB0"/>
    <w:rsid w:val="5D0A5CAC"/>
    <w:rsid w:val="5D0E5DFD"/>
    <w:rsid w:val="5D2040A6"/>
    <w:rsid w:val="5D4F40E1"/>
    <w:rsid w:val="5D532AC3"/>
    <w:rsid w:val="5D616655"/>
    <w:rsid w:val="5D620742"/>
    <w:rsid w:val="5D912A26"/>
    <w:rsid w:val="5D9F47A9"/>
    <w:rsid w:val="5DA159BF"/>
    <w:rsid w:val="5DB46803"/>
    <w:rsid w:val="5DBD39F8"/>
    <w:rsid w:val="5DD15C98"/>
    <w:rsid w:val="5DEC0CF0"/>
    <w:rsid w:val="5E02284A"/>
    <w:rsid w:val="5E2D1110"/>
    <w:rsid w:val="5E4D7446"/>
    <w:rsid w:val="5E5F1EE6"/>
    <w:rsid w:val="5E70653C"/>
    <w:rsid w:val="5E7459A8"/>
    <w:rsid w:val="5E885A76"/>
    <w:rsid w:val="5E8D3D75"/>
    <w:rsid w:val="5E905320"/>
    <w:rsid w:val="5EA2350B"/>
    <w:rsid w:val="5EA87EB7"/>
    <w:rsid w:val="5EB341C0"/>
    <w:rsid w:val="5EBE666F"/>
    <w:rsid w:val="5EC0246D"/>
    <w:rsid w:val="5ED2769F"/>
    <w:rsid w:val="5EEA0C25"/>
    <w:rsid w:val="5EEC2B9A"/>
    <w:rsid w:val="5EF511C7"/>
    <w:rsid w:val="5F0D32A1"/>
    <w:rsid w:val="5F140B96"/>
    <w:rsid w:val="5F1A2D23"/>
    <w:rsid w:val="5F220723"/>
    <w:rsid w:val="5F2A7AF8"/>
    <w:rsid w:val="5F3D7CFE"/>
    <w:rsid w:val="5F407CD3"/>
    <w:rsid w:val="5F45451A"/>
    <w:rsid w:val="5F61050E"/>
    <w:rsid w:val="5F91494B"/>
    <w:rsid w:val="5F9B12E6"/>
    <w:rsid w:val="5FA0725E"/>
    <w:rsid w:val="5FA51004"/>
    <w:rsid w:val="5FAA713D"/>
    <w:rsid w:val="5FAF1783"/>
    <w:rsid w:val="5FB93C59"/>
    <w:rsid w:val="5FD0693D"/>
    <w:rsid w:val="5FEA016C"/>
    <w:rsid w:val="600B6CEB"/>
    <w:rsid w:val="60312043"/>
    <w:rsid w:val="60511079"/>
    <w:rsid w:val="60613073"/>
    <w:rsid w:val="60701B9C"/>
    <w:rsid w:val="60813628"/>
    <w:rsid w:val="609508CB"/>
    <w:rsid w:val="60A2320D"/>
    <w:rsid w:val="60A30707"/>
    <w:rsid w:val="60A82008"/>
    <w:rsid w:val="60AA156E"/>
    <w:rsid w:val="60AD6B6F"/>
    <w:rsid w:val="60B40C02"/>
    <w:rsid w:val="60B43DCB"/>
    <w:rsid w:val="60D31F8B"/>
    <w:rsid w:val="60F13932"/>
    <w:rsid w:val="611B752A"/>
    <w:rsid w:val="61254E93"/>
    <w:rsid w:val="61402521"/>
    <w:rsid w:val="614E5143"/>
    <w:rsid w:val="61710DEE"/>
    <w:rsid w:val="617200A8"/>
    <w:rsid w:val="619B6BAF"/>
    <w:rsid w:val="61B65310"/>
    <w:rsid w:val="61C154DE"/>
    <w:rsid w:val="61D54650"/>
    <w:rsid w:val="61EE5485"/>
    <w:rsid w:val="61F968F6"/>
    <w:rsid w:val="623757B2"/>
    <w:rsid w:val="623D76BC"/>
    <w:rsid w:val="62450403"/>
    <w:rsid w:val="62481AA1"/>
    <w:rsid w:val="625911EA"/>
    <w:rsid w:val="62662018"/>
    <w:rsid w:val="62682234"/>
    <w:rsid w:val="626844EB"/>
    <w:rsid w:val="62724E61"/>
    <w:rsid w:val="62A65F82"/>
    <w:rsid w:val="62AD011F"/>
    <w:rsid w:val="62AE1A8A"/>
    <w:rsid w:val="62AF4177"/>
    <w:rsid w:val="62B25A55"/>
    <w:rsid w:val="62D200F3"/>
    <w:rsid w:val="63271C10"/>
    <w:rsid w:val="632A6CF3"/>
    <w:rsid w:val="63382DD7"/>
    <w:rsid w:val="633C5C24"/>
    <w:rsid w:val="634C7460"/>
    <w:rsid w:val="636A1DFC"/>
    <w:rsid w:val="636D2432"/>
    <w:rsid w:val="637A221F"/>
    <w:rsid w:val="637F39A7"/>
    <w:rsid w:val="639A2858"/>
    <w:rsid w:val="63A26435"/>
    <w:rsid w:val="63C65464"/>
    <w:rsid w:val="63C77BC3"/>
    <w:rsid w:val="640164BC"/>
    <w:rsid w:val="64117F63"/>
    <w:rsid w:val="64163A80"/>
    <w:rsid w:val="64423C09"/>
    <w:rsid w:val="645C7CCA"/>
    <w:rsid w:val="64757EE2"/>
    <w:rsid w:val="648801D8"/>
    <w:rsid w:val="649C76A9"/>
    <w:rsid w:val="64AE207C"/>
    <w:rsid w:val="64D77000"/>
    <w:rsid w:val="64DC5686"/>
    <w:rsid w:val="64E831B8"/>
    <w:rsid w:val="64F13F6D"/>
    <w:rsid w:val="64FC5EB8"/>
    <w:rsid w:val="651932EC"/>
    <w:rsid w:val="65214CA0"/>
    <w:rsid w:val="65314B5F"/>
    <w:rsid w:val="6532500E"/>
    <w:rsid w:val="653A28B9"/>
    <w:rsid w:val="656A6846"/>
    <w:rsid w:val="656D07F8"/>
    <w:rsid w:val="657259D4"/>
    <w:rsid w:val="658258FA"/>
    <w:rsid w:val="6588405B"/>
    <w:rsid w:val="65B12957"/>
    <w:rsid w:val="65B665D0"/>
    <w:rsid w:val="65B82D9D"/>
    <w:rsid w:val="65C852A9"/>
    <w:rsid w:val="65CB4514"/>
    <w:rsid w:val="65F72BB7"/>
    <w:rsid w:val="66051F16"/>
    <w:rsid w:val="661A02D6"/>
    <w:rsid w:val="662429D3"/>
    <w:rsid w:val="663D094F"/>
    <w:rsid w:val="665142F3"/>
    <w:rsid w:val="66733D5C"/>
    <w:rsid w:val="6675613F"/>
    <w:rsid w:val="66802985"/>
    <w:rsid w:val="668C79A0"/>
    <w:rsid w:val="668F6351"/>
    <w:rsid w:val="66A84763"/>
    <w:rsid w:val="66BB1F91"/>
    <w:rsid w:val="66BF30E8"/>
    <w:rsid w:val="66D103A8"/>
    <w:rsid w:val="66D954CC"/>
    <w:rsid w:val="66DC66BC"/>
    <w:rsid w:val="66DD20B3"/>
    <w:rsid w:val="66E044EA"/>
    <w:rsid w:val="66E1692D"/>
    <w:rsid w:val="66E47338"/>
    <w:rsid w:val="66EE209B"/>
    <w:rsid w:val="66FD52A5"/>
    <w:rsid w:val="67233C59"/>
    <w:rsid w:val="67245611"/>
    <w:rsid w:val="673F663A"/>
    <w:rsid w:val="67424E02"/>
    <w:rsid w:val="67460D5C"/>
    <w:rsid w:val="674A2658"/>
    <w:rsid w:val="674D7A09"/>
    <w:rsid w:val="67542D87"/>
    <w:rsid w:val="675E7762"/>
    <w:rsid w:val="6764121C"/>
    <w:rsid w:val="67677314"/>
    <w:rsid w:val="677C1F4F"/>
    <w:rsid w:val="678D4FDA"/>
    <w:rsid w:val="678D53BE"/>
    <w:rsid w:val="679D5A78"/>
    <w:rsid w:val="67A17493"/>
    <w:rsid w:val="67A34B94"/>
    <w:rsid w:val="67AB4F2E"/>
    <w:rsid w:val="67B14816"/>
    <w:rsid w:val="67B1772D"/>
    <w:rsid w:val="67B32C30"/>
    <w:rsid w:val="67BC3137"/>
    <w:rsid w:val="67D740EA"/>
    <w:rsid w:val="67EA2D2C"/>
    <w:rsid w:val="680063C7"/>
    <w:rsid w:val="68094924"/>
    <w:rsid w:val="680B08A2"/>
    <w:rsid w:val="682254A5"/>
    <w:rsid w:val="68307350"/>
    <w:rsid w:val="683332CD"/>
    <w:rsid w:val="68534DEC"/>
    <w:rsid w:val="6854131B"/>
    <w:rsid w:val="6855198F"/>
    <w:rsid w:val="685E3CBD"/>
    <w:rsid w:val="6874548F"/>
    <w:rsid w:val="687F107F"/>
    <w:rsid w:val="68843A52"/>
    <w:rsid w:val="689D1487"/>
    <w:rsid w:val="68A530BA"/>
    <w:rsid w:val="68A65ABA"/>
    <w:rsid w:val="68B73E0F"/>
    <w:rsid w:val="68BD6966"/>
    <w:rsid w:val="68DC0A58"/>
    <w:rsid w:val="68DD5DFB"/>
    <w:rsid w:val="68E12604"/>
    <w:rsid w:val="690A7BA1"/>
    <w:rsid w:val="69145B2D"/>
    <w:rsid w:val="691B4980"/>
    <w:rsid w:val="69452412"/>
    <w:rsid w:val="694D2A1D"/>
    <w:rsid w:val="697270ED"/>
    <w:rsid w:val="69834AB2"/>
    <w:rsid w:val="698B4A35"/>
    <w:rsid w:val="69A82D51"/>
    <w:rsid w:val="69BB1005"/>
    <w:rsid w:val="69CE70A2"/>
    <w:rsid w:val="69EC72A7"/>
    <w:rsid w:val="69FA3C6C"/>
    <w:rsid w:val="6A0B3BD1"/>
    <w:rsid w:val="6A10568B"/>
    <w:rsid w:val="6A136556"/>
    <w:rsid w:val="6A1A16EC"/>
    <w:rsid w:val="6A1E0329"/>
    <w:rsid w:val="6A264833"/>
    <w:rsid w:val="6A266B96"/>
    <w:rsid w:val="6A36432D"/>
    <w:rsid w:val="6A491E85"/>
    <w:rsid w:val="6A4964A7"/>
    <w:rsid w:val="6A53573D"/>
    <w:rsid w:val="6A67269A"/>
    <w:rsid w:val="6A6F55C9"/>
    <w:rsid w:val="6A7B73BB"/>
    <w:rsid w:val="6A9458B6"/>
    <w:rsid w:val="6AAD5E11"/>
    <w:rsid w:val="6AB24407"/>
    <w:rsid w:val="6AD23B7A"/>
    <w:rsid w:val="6AD62431"/>
    <w:rsid w:val="6AE325AD"/>
    <w:rsid w:val="6B073EEE"/>
    <w:rsid w:val="6B146AB5"/>
    <w:rsid w:val="6B15747C"/>
    <w:rsid w:val="6B2574C8"/>
    <w:rsid w:val="6B2C18AE"/>
    <w:rsid w:val="6B3D23F1"/>
    <w:rsid w:val="6B3D425E"/>
    <w:rsid w:val="6B4C5A4B"/>
    <w:rsid w:val="6B5B4CB0"/>
    <w:rsid w:val="6B5F373E"/>
    <w:rsid w:val="6B7439F8"/>
    <w:rsid w:val="6B873576"/>
    <w:rsid w:val="6BAA2831"/>
    <w:rsid w:val="6BC9646F"/>
    <w:rsid w:val="6BCF2A70"/>
    <w:rsid w:val="6BF97920"/>
    <w:rsid w:val="6C2E7676"/>
    <w:rsid w:val="6C32092F"/>
    <w:rsid w:val="6C3F054B"/>
    <w:rsid w:val="6C5D150F"/>
    <w:rsid w:val="6C7A6961"/>
    <w:rsid w:val="6C7E3B0E"/>
    <w:rsid w:val="6CA02E32"/>
    <w:rsid w:val="6CA92242"/>
    <w:rsid w:val="6CD10E58"/>
    <w:rsid w:val="6CEA0330"/>
    <w:rsid w:val="6D220FC2"/>
    <w:rsid w:val="6D2F4470"/>
    <w:rsid w:val="6D316125"/>
    <w:rsid w:val="6D3445A8"/>
    <w:rsid w:val="6D371909"/>
    <w:rsid w:val="6D397CE3"/>
    <w:rsid w:val="6D434F43"/>
    <w:rsid w:val="6D4A61BA"/>
    <w:rsid w:val="6D6B0293"/>
    <w:rsid w:val="6D710C31"/>
    <w:rsid w:val="6D714771"/>
    <w:rsid w:val="6D756624"/>
    <w:rsid w:val="6D77070C"/>
    <w:rsid w:val="6D850E3D"/>
    <w:rsid w:val="6DB12CE1"/>
    <w:rsid w:val="6DB8673B"/>
    <w:rsid w:val="6DCC0281"/>
    <w:rsid w:val="6DCD2EFA"/>
    <w:rsid w:val="6DD62A3C"/>
    <w:rsid w:val="6DE76B42"/>
    <w:rsid w:val="6DEA31AC"/>
    <w:rsid w:val="6DFF7688"/>
    <w:rsid w:val="6E026402"/>
    <w:rsid w:val="6E034ABC"/>
    <w:rsid w:val="6E0B0D16"/>
    <w:rsid w:val="6E1063D0"/>
    <w:rsid w:val="6E4A3B5E"/>
    <w:rsid w:val="6E510D33"/>
    <w:rsid w:val="6E523CAC"/>
    <w:rsid w:val="6E827A5B"/>
    <w:rsid w:val="6E9602FB"/>
    <w:rsid w:val="6E9722D7"/>
    <w:rsid w:val="6E9C4B4B"/>
    <w:rsid w:val="6EB95ADF"/>
    <w:rsid w:val="6EC20554"/>
    <w:rsid w:val="6EC25563"/>
    <w:rsid w:val="6EC92046"/>
    <w:rsid w:val="6ED22F0F"/>
    <w:rsid w:val="6ED9624F"/>
    <w:rsid w:val="6EE65793"/>
    <w:rsid w:val="6EEA73EF"/>
    <w:rsid w:val="6EFA6276"/>
    <w:rsid w:val="6EFF1AD0"/>
    <w:rsid w:val="6F1573E6"/>
    <w:rsid w:val="6F173018"/>
    <w:rsid w:val="6F2717EC"/>
    <w:rsid w:val="6F3529FC"/>
    <w:rsid w:val="6F3D74C6"/>
    <w:rsid w:val="6F400618"/>
    <w:rsid w:val="6F751260"/>
    <w:rsid w:val="6F7A66E1"/>
    <w:rsid w:val="6F80797E"/>
    <w:rsid w:val="6F897436"/>
    <w:rsid w:val="6FA523D2"/>
    <w:rsid w:val="6FBF5E67"/>
    <w:rsid w:val="6FEB539A"/>
    <w:rsid w:val="6FEF55D0"/>
    <w:rsid w:val="6FF51B17"/>
    <w:rsid w:val="70254C61"/>
    <w:rsid w:val="702F1321"/>
    <w:rsid w:val="702F34DE"/>
    <w:rsid w:val="70310656"/>
    <w:rsid w:val="703414C9"/>
    <w:rsid w:val="704B5329"/>
    <w:rsid w:val="704F2B1C"/>
    <w:rsid w:val="7063216F"/>
    <w:rsid w:val="706358BB"/>
    <w:rsid w:val="7068711F"/>
    <w:rsid w:val="70781303"/>
    <w:rsid w:val="70A66297"/>
    <w:rsid w:val="70B43DEB"/>
    <w:rsid w:val="70D67EE8"/>
    <w:rsid w:val="70F33AF5"/>
    <w:rsid w:val="71014057"/>
    <w:rsid w:val="712A0E2C"/>
    <w:rsid w:val="7135298B"/>
    <w:rsid w:val="714C2DFE"/>
    <w:rsid w:val="7160306C"/>
    <w:rsid w:val="71666651"/>
    <w:rsid w:val="716968DD"/>
    <w:rsid w:val="71915F81"/>
    <w:rsid w:val="71984D5C"/>
    <w:rsid w:val="71A45112"/>
    <w:rsid w:val="71B40FF2"/>
    <w:rsid w:val="71BF127F"/>
    <w:rsid w:val="71BF7EB3"/>
    <w:rsid w:val="72063DF4"/>
    <w:rsid w:val="72120C45"/>
    <w:rsid w:val="722E0CCE"/>
    <w:rsid w:val="723E077B"/>
    <w:rsid w:val="72440958"/>
    <w:rsid w:val="72503264"/>
    <w:rsid w:val="7250388B"/>
    <w:rsid w:val="725D1030"/>
    <w:rsid w:val="7281685E"/>
    <w:rsid w:val="728F0291"/>
    <w:rsid w:val="72950874"/>
    <w:rsid w:val="72976B5A"/>
    <w:rsid w:val="729A7652"/>
    <w:rsid w:val="72BC1FE6"/>
    <w:rsid w:val="72BD6750"/>
    <w:rsid w:val="72C23AC8"/>
    <w:rsid w:val="72C803C7"/>
    <w:rsid w:val="72CB65F3"/>
    <w:rsid w:val="72D924D4"/>
    <w:rsid w:val="72F136B6"/>
    <w:rsid w:val="72F4636B"/>
    <w:rsid w:val="72FB0ADD"/>
    <w:rsid w:val="72FD736A"/>
    <w:rsid w:val="73104006"/>
    <w:rsid w:val="731260CC"/>
    <w:rsid w:val="732E26DE"/>
    <w:rsid w:val="733E2E9E"/>
    <w:rsid w:val="73461220"/>
    <w:rsid w:val="7353745B"/>
    <w:rsid w:val="735D574A"/>
    <w:rsid w:val="73751E21"/>
    <w:rsid w:val="737F6FCF"/>
    <w:rsid w:val="7381208C"/>
    <w:rsid w:val="73A011B2"/>
    <w:rsid w:val="73A13D3C"/>
    <w:rsid w:val="73A27303"/>
    <w:rsid w:val="73A41D78"/>
    <w:rsid w:val="73A56E44"/>
    <w:rsid w:val="73B06FC8"/>
    <w:rsid w:val="73BF7973"/>
    <w:rsid w:val="73E832D3"/>
    <w:rsid w:val="73E94141"/>
    <w:rsid w:val="74031361"/>
    <w:rsid w:val="740609EE"/>
    <w:rsid w:val="740E797F"/>
    <w:rsid w:val="74757CB9"/>
    <w:rsid w:val="74793E2D"/>
    <w:rsid w:val="747F32F4"/>
    <w:rsid w:val="74817681"/>
    <w:rsid w:val="74870505"/>
    <w:rsid w:val="749E4515"/>
    <w:rsid w:val="74B9560C"/>
    <w:rsid w:val="74C75FD3"/>
    <w:rsid w:val="74D017FC"/>
    <w:rsid w:val="74E362AF"/>
    <w:rsid w:val="74E9728D"/>
    <w:rsid w:val="74F82DB1"/>
    <w:rsid w:val="74FE4DDE"/>
    <w:rsid w:val="751E72C1"/>
    <w:rsid w:val="752E3D44"/>
    <w:rsid w:val="7541206D"/>
    <w:rsid w:val="754206BB"/>
    <w:rsid w:val="754A68F6"/>
    <w:rsid w:val="75625E25"/>
    <w:rsid w:val="7578523D"/>
    <w:rsid w:val="75A84FAB"/>
    <w:rsid w:val="75C9504D"/>
    <w:rsid w:val="75D20577"/>
    <w:rsid w:val="75E75961"/>
    <w:rsid w:val="75EA6D90"/>
    <w:rsid w:val="75EE39E4"/>
    <w:rsid w:val="76007F62"/>
    <w:rsid w:val="760252E6"/>
    <w:rsid w:val="760420E7"/>
    <w:rsid w:val="76175A2A"/>
    <w:rsid w:val="76264D28"/>
    <w:rsid w:val="762B2CB7"/>
    <w:rsid w:val="76466098"/>
    <w:rsid w:val="76806437"/>
    <w:rsid w:val="76881D59"/>
    <w:rsid w:val="76923F99"/>
    <w:rsid w:val="76967E32"/>
    <w:rsid w:val="76A6553E"/>
    <w:rsid w:val="76B50CCC"/>
    <w:rsid w:val="76BD2A00"/>
    <w:rsid w:val="76BE7462"/>
    <w:rsid w:val="76C17548"/>
    <w:rsid w:val="76D84C46"/>
    <w:rsid w:val="76EB4E4D"/>
    <w:rsid w:val="76ED01F8"/>
    <w:rsid w:val="770933D0"/>
    <w:rsid w:val="77107EA7"/>
    <w:rsid w:val="77126426"/>
    <w:rsid w:val="77164DFF"/>
    <w:rsid w:val="772C33D8"/>
    <w:rsid w:val="772D6475"/>
    <w:rsid w:val="77415879"/>
    <w:rsid w:val="7752515A"/>
    <w:rsid w:val="77671AF0"/>
    <w:rsid w:val="776A0C47"/>
    <w:rsid w:val="77714651"/>
    <w:rsid w:val="777347AA"/>
    <w:rsid w:val="77795190"/>
    <w:rsid w:val="77976A72"/>
    <w:rsid w:val="77CB718C"/>
    <w:rsid w:val="77D36D29"/>
    <w:rsid w:val="77E21EE2"/>
    <w:rsid w:val="77F357EA"/>
    <w:rsid w:val="7809377A"/>
    <w:rsid w:val="782F3180"/>
    <w:rsid w:val="783A6E09"/>
    <w:rsid w:val="783C7CAD"/>
    <w:rsid w:val="783F3EFE"/>
    <w:rsid w:val="78491FE5"/>
    <w:rsid w:val="78A82F32"/>
    <w:rsid w:val="78B37712"/>
    <w:rsid w:val="78B51E14"/>
    <w:rsid w:val="78C87E2C"/>
    <w:rsid w:val="78D117B9"/>
    <w:rsid w:val="78E37B54"/>
    <w:rsid w:val="78F24043"/>
    <w:rsid w:val="79050385"/>
    <w:rsid w:val="790A36E4"/>
    <w:rsid w:val="7910100B"/>
    <w:rsid w:val="79181607"/>
    <w:rsid w:val="791E597A"/>
    <w:rsid w:val="792B027F"/>
    <w:rsid w:val="793D02F4"/>
    <w:rsid w:val="793D10E4"/>
    <w:rsid w:val="794C6708"/>
    <w:rsid w:val="79602A6A"/>
    <w:rsid w:val="7968601A"/>
    <w:rsid w:val="796F799F"/>
    <w:rsid w:val="79806D0F"/>
    <w:rsid w:val="798474FC"/>
    <w:rsid w:val="799556F4"/>
    <w:rsid w:val="79B80F53"/>
    <w:rsid w:val="79BD5ED5"/>
    <w:rsid w:val="79C17B8D"/>
    <w:rsid w:val="79C32566"/>
    <w:rsid w:val="79CD034F"/>
    <w:rsid w:val="79F91BF5"/>
    <w:rsid w:val="7A3D371A"/>
    <w:rsid w:val="7A556BC2"/>
    <w:rsid w:val="7A5955C8"/>
    <w:rsid w:val="7A635E25"/>
    <w:rsid w:val="7A6E2E65"/>
    <w:rsid w:val="7A76049A"/>
    <w:rsid w:val="7A843BB3"/>
    <w:rsid w:val="7AB12E23"/>
    <w:rsid w:val="7AB42EF5"/>
    <w:rsid w:val="7AC25CC5"/>
    <w:rsid w:val="7AC73B44"/>
    <w:rsid w:val="7ACB2DFE"/>
    <w:rsid w:val="7ACD2BB0"/>
    <w:rsid w:val="7AF144E1"/>
    <w:rsid w:val="7AF97430"/>
    <w:rsid w:val="7AFA31F8"/>
    <w:rsid w:val="7AFE62B3"/>
    <w:rsid w:val="7B0159BA"/>
    <w:rsid w:val="7B1014F4"/>
    <w:rsid w:val="7B14034E"/>
    <w:rsid w:val="7B1A20C7"/>
    <w:rsid w:val="7B332F87"/>
    <w:rsid w:val="7B3361A8"/>
    <w:rsid w:val="7B3502BB"/>
    <w:rsid w:val="7B432B85"/>
    <w:rsid w:val="7B650FEF"/>
    <w:rsid w:val="7B797D42"/>
    <w:rsid w:val="7B7A0BB6"/>
    <w:rsid w:val="7BA3037E"/>
    <w:rsid w:val="7BA516E6"/>
    <w:rsid w:val="7BB77BF1"/>
    <w:rsid w:val="7BBB3250"/>
    <w:rsid w:val="7BBE74CE"/>
    <w:rsid w:val="7BCB7A29"/>
    <w:rsid w:val="7BD96FA2"/>
    <w:rsid w:val="7BE350CF"/>
    <w:rsid w:val="7BE94C91"/>
    <w:rsid w:val="7BED4F86"/>
    <w:rsid w:val="7BF71D0A"/>
    <w:rsid w:val="7BFC10B4"/>
    <w:rsid w:val="7C0F3697"/>
    <w:rsid w:val="7C156AFB"/>
    <w:rsid w:val="7C16069C"/>
    <w:rsid w:val="7C1C7597"/>
    <w:rsid w:val="7C2A0E42"/>
    <w:rsid w:val="7C2A25DC"/>
    <w:rsid w:val="7C3D3FC1"/>
    <w:rsid w:val="7C433ABE"/>
    <w:rsid w:val="7C4C16B3"/>
    <w:rsid w:val="7C4E1019"/>
    <w:rsid w:val="7C553244"/>
    <w:rsid w:val="7C6F52A9"/>
    <w:rsid w:val="7C772E75"/>
    <w:rsid w:val="7C79359E"/>
    <w:rsid w:val="7C7C3FC9"/>
    <w:rsid w:val="7C81652F"/>
    <w:rsid w:val="7C835FD7"/>
    <w:rsid w:val="7C864568"/>
    <w:rsid w:val="7C883C02"/>
    <w:rsid w:val="7CB7092B"/>
    <w:rsid w:val="7CC556C2"/>
    <w:rsid w:val="7CCB056B"/>
    <w:rsid w:val="7CCE72AA"/>
    <w:rsid w:val="7CDF1C4A"/>
    <w:rsid w:val="7CF64FDC"/>
    <w:rsid w:val="7D063F2D"/>
    <w:rsid w:val="7D0B4E01"/>
    <w:rsid w:val="7D112629"/>
    <w:rsid w:val="7D213B20"/>
    <w:rsid w:val="7D4D2D4C"/>
    <w:rsid w:val="7D4E0F71"/>
    <w:rsid w:val="7D5900F6"/>
    <w:rsid w:val="7D6C56B3"/>
    <w:rsid w:val="7D6E4856"/>
    <w:rsid w:val="7D8D1888"/>
    <w:rsid w:val="7DB050F0"/>
    <w:rsid w:val="7DCB716E"/>
    <w:rsid w:val="7DCD3592"/>
    <w:rsid w:val="7DD05C39"/>
    <w:rsid w:val="7DD05DF8"/>
    <w:rsid w:val="7DD94386"/>
    <w:rsid w:val="7DF63DBF"/>
    <w:rsid w:val="7E1F6A0E"/>
    <w:rsid w:val="7E2748F9"/>
    <w:rsid w:val="7E374F5D"/>
    <w:rsid w:val="7E474361"/>
    <w:rsid w:val="7E52614D"/>
    <w:rsid w:val="7E5340F7"/>
    <w:rsid w:val="7E5750DD"/>
    <w:rsid w:val="7E5A7D7A"/>
    <w:rsid w:val="7E9244BB"/>
    <w:rsid w:val="7E956379"/>
    <w:rsid w:val="7EAB19D4"/>
    <w:rsid w:val="7EC95A1C"/>
    <w:rsid w:val="7ECD4CD0"/>
    <w:rsid w:val="7ECD5AA5"/>
    <w:rsid w:val="7EE1072F"/>
    <w:rsid w:val="7F0F4CD0"/>
    <w:rsid w:val="7F1205F3"/>
    <w:rsid w:val="7F123B00"/>
    <w:rsid w:val="7F1267FE"/>
    <w:rsid w:val="7F2F2AC3"/>
    <w:rsid w:val="7F330967"/>
    <w:rsid w:val="7F46165C"/>
    <w:rsid w:val="7F4C56DA"/>
    <w:rsid w:val="7F740F45"/>
    <w:rsid w:val="7F796841"/>
    <w:rsid w:val="7F8206A0"/>
    <w:rsid w:val="7F901B68"/>
    <w:rsid w:val="7FE26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qFormat="1"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34"/>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Normal Indent"/>
    <w:basedOn w:val="1"/>
    <w:link w:val="54"/>
    <w:qFormat/>
    <w:uiPriority w:val="0"/>
    <w:pPr>
      <w:ind w:firstLine="420" w:firstLineChars="200"/>
    </w:pPr>
  </w:style>
  <w:style w:type="paragraph" w:styleId="8">
    <w:name w:val="caption"/>
    <w:basedOn w:val="1"/>
    <w:next w:val="1"/>
    <w:qFormat/>
    <w:uiPriority w:val="0"/>
    <w:pPr>
      <w:widowControl w:val="0"/>
      <w:ind w:left="420"/>
      <w:jc w:val="center"/>
    </w:pPr>
    <w:rPr>
      <w:rFonts w:ascii="Calibri" w:hAnsi="Calibri" w:eastAsia="Calibri" w:cs="黑体"/>
      <w:b/>
      <w:sz w:val="18"/>
      <w:szCs w:val="18"/>
    </w:rPr>
  </w:style>
  <w:style w:type="paragraph" w:styleId="9">
    <w:name w:val="annotation text"/>
    <w:basedOn w:val="1"/>
    <w:link w:val="56"/>
    <w:qFormat/>
    <w:uiPriority w:val="0"/>
    <w:pPr>
      <w:jc w:val="left"/>
    </w:pPr>
    <w:rPr>
      <w:sz w:val="18"/>
      <w:szCs w:val="20"/>
    </w:rPr>
  </w:style>
  <w:style w:type="paragraph" w:styleId="10">
    <w:name w:val="Salutation"/>
    <w:basedOn w:val="1"/>
    <w:next w:val="1"/>
    <w:unhideWhenUsed/>
    <w:qFormat/>
    <w:uiPriority w:val="0"/>
    <w:rPr>
      <w:rFonts w:ascii="等线" w:hAnsi="等线" w:eastAsia="等线"/>
    </w:rPr>
  </w:style>
  <w:style w:type="paragraph" w:styleId="11">
    <w:name w:val="Body Text"/>
    <w:basedOn w:val="1"/>
    <w:next w:val="1"/>
    <w:qFormat/>
    <w:uiPriority w:val="0"/>
    <w:pPr>
      <w:spacing w:after="120"/>
    </w:pPr>
  </w:style>
  <w:style w:type="paragraph" w:styleId="12">
    <w:name w:val="Body Text Indent"/>
    <w:basedOn w:val="1"/>
    <w:next w:val="13"/>
    <w:link w:val="60"/>
    <w:qFormat/>
    <w:uiPriority w:val="0"/>
    <w:pPr>
      <w:ind w:firstLine="630"/>
    </w:pPr>
    <w:rPr>
      <w:sz w:val="32"/>
      <w:szCs w:val="20"/>
    </w:rPr>
  </w:style>
  <w:style w:type="paragraph" w:styleId="13">
    <w:name w:val="Body Text Indent 2"/>
    <w:basedOn w:val="1"/>
    <w:qFormat/>
    <w:uiPriority w:val="0"/>
    <w:pPr>
      <w:spacing w:after="120" w:line="480" w:lineRule="auto"/>
      <w:ind w:left="420" w:leftChars="200"/>
    </w:pPr>
  </w:style>
  <w:style w:type="paragraph" w:styleId="14">
    <w:name w:val="toc 5"/>
    <w:basedOn w:val="1"/>
    <w:next w:val="1"/>
    <w:qFormat/>
    <w:uiPriority w:val="0"/>
    <w:pPr>
      <w:ind w:left="1680" w:leftChars="800"/>
    </w:pPr>
  </w:style>
  <w:style w:type="paragraph" w:styleId="15">
    <w:name w:val="toc 3"/>
    <w:basedOn w:val="1"/>
    <w:next w:val="1"/>
    <w:qFormat/>
    <w:uiPriority w:val="0"/>
    <w:pPr>
      <w:ind w:left="840" w:leftChars="400"/>
    </w:pPr>
  </w:style>
  <w:style w:type="paragraph" w:styleId="16">
    <w:name w:val="Plain Text"/>
    <w:basedOn w:val="1"/>
    <w:link w:val="57"/>
    <w:qFormat/>
    <w:uiPriority w:val="0"/>
    <w:pPr>
      <w:autoSpaceDE w:val="0"/>
      <w:autoSpaceDN w:val="0"/>
      <w:adjustRightInd w:val="0"/>
    </w:pPr>
    <w:rPr>
      <w:rFonts w:ascii="宋体" w:hAnsi="Tms Rmn"/>
      <w:kern w:val="0"/>
      <w:szCs w:val="20"/>
    </w:rPr>
  </w:style>
  <w:style w:type="paragraph" w:styleId="17">
    <w:name w:val="toc 8"/>
    <w:basedOn w:val="1"/>
    <w:next w:val="1"/>
    <w:qFormat/>
    <w:uiPriority w:val="0"/>
    <w:pPr>
      <w:ind w:left="2940" w:leftChars="1400"/>
    </w:pPr>
  </w:style>
  <w:style w:type="paragraph" w:styleId="18">
    <w:name w:val="Balloon Text"/>
    <w:basedOn w:val="1"/>
    <w:semiHidden/>
    <w:qFormat/>
    <w:uiPriority w:val="0"/>
    <w:rPr>
      <w:sz w:val="18"/>
      <w:szCs w:val="18"/>
    </w:rPr>
  </w:style>
  <w:style w:type="paragraph" w:styleId="19">
    <w:name w:val="footer"/>
    <w:basedOn w:val="1"/>
    <w:link w:val="59"/>
    <w:qFormat/>
    <w:uiPriority w:val="99"/>
    <w:pPr>
      <w:tabs>
        <w:tab w:val="center" w:pos="4153"/>
        <w:tab w:val="right" w:pos="8306"/>
      </w:tabs>
      <w:snapToGrid w:val="0"/>
      <w:jc w:val="left"/>
    </w:pPr>
    <w:rPr>
      <w:sz w:val="18"/>
      <w:szCs w:val="20"/>
    </w:rPr>
  </w:style>
  <w:style w:type="paragraph" w:styleId="20">
    <w:name w:val="header"/>
    <w:basedOn w:val="1"/>
    <w:link w:val="58"/>
    <w:qFormat/>
    <w:uiPriority w:val="0"/>
    <w:pPr>
      <w:pBdr>
        <w:bottom w:val="single" w:color="auto" w:sz="6" w:space="1"/>
      </w:pBdr>
      <w:tabs>
        <w:tab w:val="center" w:pos="4153"/>
        <w:tab w:val="right" w:pos="8306"/>
      </w:tabs>
      <w:snapToGrid w:val="0"/>
      <w:jc w:val="center"/>
    </w:pPr>
    <w:rPr>
      <w:sz w:val="18"/>
      <w:szCs w:val="20"/>
    </w:rPr>
  </w:style>
  <w:style w:type="paragraph" w:styleId="21">
    <w:name w:val="toc 1"/>
    <w:basedOn w:val="1"/>
    <w:next w:val="1"/>
    <w:qFormat/>
    <w:uiPriority w:val="0"/>
  </w:style>
  <w:style w:type="paragraph" w:styleId="22">
    <w:name w:val="toc 4"/>
    <w:basedOn w:val="1"/>
    <w:next w:val="1"/>
    <w:qFormat/>
    <w:uiPriority w:val="0"/>
    <w:pPr>
      <w:ind w:left="1260" w:leftChars="600"/>
    </w:pPr>
  </w:style>
  <w:style w:type="paragraph" w:styleId="23">
    <w:name w:val="Subtitle"/>
    <w:basedOn w:val="1"/>
    <w:next w:val="1"/>
    <w:qFormat/>
    <w:uiPriority w:val="11"/>
    <w:pPr>
      <w:spacing w:before="240" w:after="60" w:line="312" w:lineRule="auto"/>
      <w:jc w:val="center"/>
      <w:outlineLvl w:val="1"/>
    </w:pPr>
    <w:rPr>
      <w:rFonts w:ascii="Calibri Light" w:hAnsi="Calibri Light"/>
      <w:b/>
      <w:bCs/>
      <w:kern w:val="28"/>
      <w:sz w:val="32"/>
      <w:szCs w:val="32"/>
    </w:rPr>
  </w:style>
  <w:style w:type="paragraph" w:styleId="24">
    <w:name w:val="footnote text"/>
    <w:basedOn w:val="1"/>
    <w:qFormat/>
    <w:uiPriority w:val="0"/>
    <w:pPr>
      <w:snapToGrid w:val="0"/>
      <w:jc w:val="left"/>
    </w:pPr>
    <w:rPr>
      <w:sz w:val="18"/>
    </w:rPr>
  </w:style>
  <w:style w:type="paragraph" w:styleId="25">
    <w:name w:val="toc 6"/>
    <w:basedOn w:val="1"/>
    <w:next w:val="1"/>
    <w:qFormat/>
    <w:uiPriority w:val="0"/>
    <w:pPr>
      <w:ind w:left="2100" w:leftChars="1000"/>
    </w:pPr>
  </w:style>
  <w:style w:type="paragraph" w:styleId="26">
    <w:name w:val="Body Text Indent 3"/>
    <w:basedOn w:val="1"/>
    <w:link w:val="64"/>
    <w:qFormat/>
    <w:uiPriority w:val="0"/>
    <w:pPr>
      <w:spacing w:after="120"/>
      <w:ind w:left="420" w:leftChars="200"/>
    </w:pPr>
    <w:rPr>
      <w:sz w:val="16"/>
      <w:szCs w:val="16"/>
    </w:rPr>
  </w:style>
  <w:style w:type="paragraph" w:styleId="27">
    <w:name w:val="toc 2"/>
    <w:basedOn w:val="1"/>
    <w:next w:val="1"/>
    <w:qFormat/>
    <w:uiPriority w:val="0"/>
    <w:pPr>
      <w:ind w:left="420" w:leftChars="200"/>
    </w:pPr>
  </w:style>
  <w:style w:type="paragraph" w:styleId="28">
    <w:name w:val="toc 9"/>
    <w:basedOn w:val="1"/>
    <w:next w:val="1"/>
    <w:qFormat/>
    <w:uiPriority w:val="0"/>
    <w:pPr>
      <w:ind w:left="3360" w:leftChars="1600"/>
    </w:pPr>
  </w:style>
  <w:style w:type="paragraph" w:styleId="2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30">
    <w:name w:val="Title"/>
    <w:basedOn w:val="1"/>
    <w:next w:val="1"/>
    <w:qFormat/>
    <w:uiPriority w:val="0"/>
    <w:pPr>
      <w:widowControl/>
      <w:spacing w:before="240" w:after="60"/>
      <w:jc w:val="center"/>
      <w:outlineLvl w:val="0"/>
    </w:pPr>
    <w:rPr>
      <w:rFonts w:ascii="Cambria" w:hAnsi="Cambria" w:cs="Arial"/>
      <w:b/>
      <w:bCs/>
      <w:kern w:val="28"/>
      <w:sz w:val="32"/>
      <w:szCs w:val="32"/>
      <w:lang w:eastAsia="en-US" w:bidi="en-US"/>
    </w:rPr>
  </w:style>
  <w:style w:type="paragraph" w:styleId="31">
    <w:name w:val="annotation subject"/>
    <w:basedOn w:val="9"/>
    <w:next w:val="9"/>
    <w:link w:val="63"/>
    <w:qFormat/>
    <w:uiPriority w:val="0"/>
    <w:rPr>
      <w:b/>
      <w:bCs/>
      <w:sz w:val="21"/>
      <w:szCs w:val="24"/>
    </w:rPr>
  </w:style>
  <w:style w:type="paragraph" w:styleId="32">
    <w:name w:val="Body Text First Indent"/>
    <w:basedOn w:val="11"/>
    <w:unhideWhenUsed/>
    <w:qFormat/>
    <w:uiPriority w:val="99"/>
    <w:pPr>
      <w:ind w:firstLine="420" w:firstLineChars="100"/>
    </w:pPr>
    <w:rPr>
      <w:rFonts w:ascii="Calibri" w:hAnsi="Calibri" w:eastAsia="宋体" w:cs="Times New Roman"/>
      <w:szCs w:val="22"/>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qFormat/>
    <w:uiPriority w:val="0"/>
  </w:style>
  <w:style w:type="character" w:styleId="38">
    <w:name w:val="Hyperlink"/>
    <w:qFormat/>
    <w:uiPriority w:val="0"/>
    <w:rPr>
      <w:color w:val="0000FF"/>
      <w:u w:val="single"/>
    </w:rPr>
  </w:style>
  <w:style w:type="character" w:styleId="39">
    <w:name w:val="annotation reference"/>
    <w:basedOn w:val="35"/>
    <w:qFormat/>
    <w:uiPriority w:val="0"/>
    <w:rPr>
      <w:sz w:val="21"/>
      <w:szCs w:val="21"/>
    </w:rPr>
  </w:style>
  <w:style w:type="paragraph" w:customStyle="1" w:styleId="40">
    <w:name w:val="_Style 3"/>
    <w:qFormat/>
    <w:uiPriority w:val="0"/>
    <w:pPr>
      <w:widowControl w:val="0"/>
      <w:jc w:val="both"/>
    </w:pPr>
    <w:rPr>
      <w:rFonts w:ascii="Times New Roman" w:hAnsi="Times New Roman" w:eastAsia="宋体" w:cs="黑体"/>
      <w:kern w:val="2"/>
      <w:sz w:val="21"/>
      <w:szCs w:val="22"/>
      <w:lang w:val="en-US" w:eastAsia="zh-CN" w:bidi="ar-SA"/>
    </w:rPr>
  </w:style>
  <w:style w:type="paragraph" w:customStyle="1" w:styleId="41">
    <w:name w:val="正文首行缩进两字符"/>
    <w:basedOn w:val="1"/>
    <w:next w:val="1"/>
    <w:qFormat/>
    <w:uiPriority w:val="0"/>
    <w:pPr>
      <w:spacing w:line="360" w:lineRule="auto"/>
      <w:ind w:firstLine="200" w:firstLineChars="200"/>
    </w:pPr>
  </w:style>
  <w:style w:type="paragraph" w:customStyle="1" w:styleId="42">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表格"/>
    <w:basedOn w:val="1"/>
    <w:qFormat/>
    <w:uiPriority w:val="0"/>
    <w:pPr>
      <w:spacing w:line="400" w:lineRule="exact"/>
    </w:pPr>
    <w:rPr>
      <w:sz w:val="24"/>
    </w:rPr>
  </w:style>
  <w:style w:type="paragraph" w:customStyle="1" w:styleId="45">
    <w:name w:val="样式 首行缩进:  2 字符"/>
    <w:basedOn w:val="1"/>
    <w:qFormat/>
    <w:uiPriority w:val="0"/>
    <w:pPr>
      <w:spacing w:line="400" w:lineRule="exact"/>
      <w:ind w:firstLine="200" w:firstLineChars="200"/>
    </w:pPr>
    <w:rPr>
      <w:rFonts w:cs="宋体"/>
      <w:sz w:val="24"/>
    </w:rPr>
  </w:style>
  <w:style w:type="paragraph" w:customStyle="1" w:styleId="46">
    <w:name w:val="GW-正文"/>
    <w:basedOn w:val="1"/>
    <w:link w:val="61"/>
    <w:qFormat/>
    <w:uiPriority w:val="0"/>
    <w:pPr>
      <w:spacing w:line="360" w:lineRule="auto"/>
      <w:ind w:firstLine="200" w:firstLineChars="200"/>
    </w:pPr>
    <w:rPr>
      <w:rFonts w:eastAsia="仿宋_GB2312"/>
      <w:sz w:val="24"/>
    </w:rPr>
  </w:style>
  <w:style w:type="paragraph" w:customStyle="1" w:styleId="47">
    <w:name w:val="列出段落1"/>
    <w:basedOn w:val="1"/>
    <w:link w:val="62"/>
    <w:qFormat/>
    <w:uiPriority w:val="0"/>
    <w:pPr>
      <w:ind w:firstLine="420" w:firstLineChars="200"/>
    </w:pPr>
  </w:style>
  <w:style w:type="paragraph" w:customStyle="1" w:styleId="48">
    <w:name w:val="Char Char Char Char Char Char Char Char Char Char Char Char Char Char1 Char Char Char Char"/>
    <w:basedOn w:val="1"/>
    <w:qFormat/>
    <w:uiPriority w:val="0"/>
    <w:rPr>
      <w:szCs w:val="21"/>
    </w:rPr>
  </w:style>
  <w:style w:type="paragraph" w:customStyle="1" w:styleId="49">
    <w:name w:val="表中文字"/>
    <w:basedOn w:val="1"/>
    <w:qFormat/>
    <w:uiPriority w:val="0"/>
    <w:pPr>
      <w:widowControl/>
    </w:pPr>
    <w:rPr>
      <w:rFonts w:eastAsia="仿宋_GB2312"/>
    </w:rPr>
  </w:style>
  <w:style w:type="paragraph" w:customStyle="1" w:styleId="50">
    <w:name w:val="纯文本1"/>
    <w:basedOn w:val="1"/>
    <w:qFormat/>
    <w:uiPriority w:val="0"/>
    <w:rPr>
      <w:rFonts w:ascii="宋体" w:hAnsi="Courier New"/>
      <w:kern w:val="0"/>
      <w:sz w:val="20"/>
      <w:szCs w:val="20"/>
    </w:rPr>
  </w:style>
  <w:style w:type="paragraph" w:customStyle="1" w:styleId="51">
    <w:name w:val="样式 正文缩进 + 首行缩进:  2 字符"/>
    <w:basedOn w:val="7"/>
    <w:qFormat/>
    <w:uiPriority w:val="0"/>
    <w:pPr>
      <w:spacing w:line="360" w:lineRule="auto"/>
      <w:ind w:firstLine="200"/>
    </w:pPr>
    <w:rPr>
      <w:sz w:val="24"/>
    </w:rPr>
  </w:style>
  <w:style w:type="paragraph" w:customStyle="1" w:styleId="52">
    <w:name w:val="p0"/>
    <w:basedOn w:val="1"/>
    <w:qFormat/>
    <w:uiPriority w:val="0"/>
    <w:pPr>
      <w:widowControl/>
      <w:spacing w:before="100" w:beforeAutospacing="1" w:after="100" w:afterAutospacing="1" w:line="280" w:lineRule="atLeast"/>
      <w:jc w:val="left"/>
    </w:pPr>
    <w:rPr>
      <w:rFonts w:ascii="宋体" w:hAnsi="宋体" w:cs="宋体"/>
      <w:kern w:val="0"/>
      <w:sz w:val="18"/>
      <w:szCs w:val="18"/>
    </w:rPr>
  </w:style>
  <w:style w:type="character" w:customStyle="1" w:styleId="53">
    <w:name w:val="（符号）邀请函中一、"/>
    <w:qFormat/>
    <w:uiPriority w:val="0"/>
    <w:rPr>
      <w:rFonts w:ascii="黑体" w:hAnsi="黑体" w:eastAsia="黑体"/>
      <w:b/>
      <w:bCs/>
      <w:sz w:val="24"/>
    </w:rPr>
  </w:style>
  <w:style w:type="character" w:customStyle="1" w:styleId="54">
    <w:name w:val="正文缩进 Char"/>
    <w:link w:val="7"/>
    <w:qFormat/>
    <w:uiPriority w:val="0"/>
    <w:rPr>
      <w:rFonts w:eastAsia="宋体"/>
      <w:kern w:val="2"/>
      <w:sz w:val="21"/>
      <w:szCs w:val="24"/>
      <w:lang w:val="en-US" w:eastAsia="zh-CN" w:bidi="ar-SA"/>
    </w:rPr>
  </w:style>
  <w:style w:type="character" w:customStyle="1" w:styleId="55">
    <w:name w:val="Char Char9"/>
    <w:qFormat/>
    <w:uiPriority w:val="0"/>
    <w:rPr>
      <w:kern w:val="2"/>
      <w:sz w:val="21"/>
    </w:rPr>
  </w:style>
  <w:style w:type="character" w:customStyle="1" w:styleId="56">
    <w:name w:val="批注文字 Char"/>
    <w:link w:val="9"/>
    <w:qFormat/>
    <w:uiPriority w:val="0"/>
    <w:rPr>
      <w:kern w:val="2"/>
      <w:sz w:val="18"/>
      <w:lang w:bidi="ar-SA"/>
    </w:rPr>
  </w:style>
  <w:style w:type="character" w:customStyle="1" w:styleId="57">
    <w:name w:val="纯文本 Char"/>
    <w:link w:val="16"/>
    <w:unhideWhenUsed/>
    <w:qFormat/>
    <w:uiPriority w:val="0"/>
    <w:rPr>
      <w:rFonts w:ascii="宋体" w:hAnsi="Tms Rmn" w:eastAsia="宋体"/>
      <w:sz w:val="21"/>
      <w:lang w:val="en-US" w:eastAsia="zh-CN" w:bidi="ar-SA"/>
    </w:rPr>
  </w:style>
  <w:style w:type="character" w:customStyle="1" w:styleId="58">
    <w:name w:val="页眉 Char"/>
    <w:link w:val="20"/>
    <w:qFormat/>
    <w:uiPriority w:val="0"/>
    <w:rPr>
      <w:rFonts w:eastAsia="宋体"/>
      <w:kern w:val="2"/>
      <w:sz w:val="18"/>
      <w:lang w:val="en-US" w:eastAsia="zh-CN" w:bidi="ar-SA"/>
    </w:rPr>
  </w:style>
  <w:style w:type="character" w:customStyle="1" w:styleId="59">
    <w:name w:val="页脚 Char"/>
    <w:link w:val="19"/>
    <w:qFormat/>
    <w:uiPriority w:val="99"/>
    <w:rPr>
      <w:rFonts w:eastAsia="宋体"/>
      <w:kern w:val="2"/>
      <w:sz w:val="18"/>
      <w:lang w:val="en-US" w:eastAsia="zh-CN" w:bidi="ar-SA"/>
    </w:rPr>
  </w:style>
  <w:style w:type="character" w:customStyle="1" w:styleId="60">
    <w:name w:val="正文文本缩进 Char"/>
    <w:link w:val="12"/>
    <w:qFormat/>
    <w:uiPriority w:val="0"/>
    <w:rPr>
      <w:rFonts w:eastAsia="宋体"/>
      <w:kern w:val="2"/>
      <w:sz w:val="32"/>
      <w:lang w:val="en-US" w:eastAsia="zh-CN" w:bidi="ar-SA"/>
    </w:rPr>
  </w:style>
  <w:style w:type="character" w:customStyle="1" w:styleId="61">
    <w:name w:val="GW-正文 Char"/>
    <w:link w:val="46"/>
    <w:qFormat/>
    <w:uiPriority w:val="0"/>
    <w:rPr>
      <w:rFonts w:eastAsia="仿宋_GB2312"/>
      <w:kern w:val="2"/>
      <w:sz w:val="24"/>
      <w:szCs w:val="24"/>
      <w:lang w:val="en-US" w:eastAsia="zh-CN" w:bidi="ar-SA"/>
    </w:rPr>
  </w:style>
  <w:style w:type="character" w:customStyle="1" w:styleId="62">
    <w:name w:val="列出段落 Char"/>
    <w:link w:val="47"/>
    <w:qFormat/>
    <w:uiPriority w:val="0"/>
    <w:rPr>
      <w:rFonts w:eastAsia="宋体"/>
      <w:kern w:val="2"/>
      <w:sz w:val="21"/>
      <w:szCs w:val="24"/>
      <w:lang w:val="en-US" w:eastAsia="zh-CN" w:bidi="ar-SA"/>
    </w:rPr>
  </w:style>
  <w:style w:type="character" w:customStyle="1" w:styleId="63">
    <w:name w:val="批注主题 Char"/>
    <w:link w:val="31"/>
    <w:qFormat/>
    <w:uiPriority w:val="0"/>
    <w:rPr>
      <w:b/>
      <w:bCs/>
      <w:kern w:val="2"/>
      <w:sz w:val="21"/>
      <w:szCs w:val="24"/>
      <w:lang w:bidi="ar-SA"/>
    </w:rPr>
  </w:style>
  <w:style w:type="character" w:customStyle="1" w:styleId="64">
    <w:name w:val="正文文本缩进 3 Char"/>
    <w:link w:val="26"/>
    <w:qFormat/>
    <w:uiPriority w:val="0"/>
    <w:rPr>
      <w:kern w:val="2"/>
      <w:sz w:val="16"/>
      <w:szCs w:val="16"/>
    </w:rPr>
  </w:style>
  <w:style w:type="character" w:customStyle="1" w:styleId="65">
    <w:name w:val="批注文字 Char1"/>
    <w:qFormat/>
    <w:uiPriority w:val="0"/>
    <w:rPr>
      <w:kern w:val="2"/>
      <w:sz w:val="18"/>
      <w:lang w:bidi="ar-SA"/>
    </w:rPr>
  </w:style>
  <w:style w:type="character" w:customStyle="1" w:styleId="66">
    <w:name w:val="font01"/>
    <w:qFormat/>
    <w:uiPriority w:val="0"/>
    <w:rPr>
      <w:rFonts w:hint="eastAsia" w:ascii="宋体" w:hAnsi="宋体" w:eastAsia="宋体" w:cs="宋体"/>
      <w:color w:val="000000"/>
      <w:sz w:val="20"/>
      <w:szCs w:val="20"/>
      <w:u w:val="none"/>
    </w:rPr>
  </w:style>
  <w:style w:type="character" w:customStyle="1" w:styleId="67">
    <w:name w:val="标题 2 Char"/>
    <w:basedOn w:val="35"/>
    <w:link w:val="3"/>
    <w:qFormat/>
    <w:uiPriority w:val="0"/>
    <w:rPr>
      <w:rFonts w:ascii="Arial" w:hAnsi="Arial" w:eastAsia="黑体"/>
      <w:b/>
      <w:bCs/>
      <w:sz w:val="32"/>
      <w:szCs w:val="32"/>
    </w:rPr>
  </w:style>
  <w:style w:type="character" w:customStyle="1" w:styleId="68">
    <w:name w:val="font101"/>
    <w:qFormat/>
    <w:uiPriority w:val="0"/>
    <w:rPr>
      <w:rFonts w:hint="eastAsia" w:ascii="宋体" w:hAnsi="宋体" w:eastAsia="宋体" w:cs="宋体"/>
      <w:b/>
      <w:color w:val="000000"/>
      <w:sz w:val="36"/>
      <w:szCs w:val="36"/>
      <w:u w:val="none"/>
    </w:rPr>
  </w:style>
  <w:style w:type="character" w:customStyle="1" w:styleId="69">
    <w:name w:val="font51"/>
    <w:qFormat/>
    <w:uiPriority w:val="0"/>
    <w:rPr>
      <w:rFonts w:hint="eastAsia" w:ascii="宋体" w:hAnsi="宋体" w:eastAsia="宋体" w:cs="宋体"/>
      <w:color w:val="000000"/>
      <w:sz w:val="16"/>
      <w:szCs w:val="16"/>
      <w:u w:val="none"/>
    </w:rPr>
  </w:style>
  <w:style w:type="character" w:customStyle="1" w:styleId="70">
    <w:name w:val="font61"/>
    <w:qFormat/>
    <w:uiPriority w:val="0"/>
    <w:rPr>
      <w:rFonts w:hint="eastAsia" w:ascii="宋体" w:hAnsi="宋体" w:eastAsia="宋体" w:cs="宋体"/>
      <w:b/>
      <w:color w:val="000000"/>
      <w:sz w:val="16"/>
      <w:szCs w:val="16"/>
      <w:u w:val="none"/>
    </w:rPr>
  </w:style>
  <w:style w:type="character" w:customStyle="1" w:styleId="71">
    <w:name w:val="font91"/>
    <w:qFormat/>
    <w:uiPriority w:val="0"/>
    <w:rPr>
      <w:rFonts w:hint="eastAsia" w:ascii="宋体" w:hAnsi="宋体" w:eastAsia="宋体" w:cs="宋体"/>
      <w:color w:val="000000"/>
      <w:sz w:val="16"/>
      <w:szCs w:val="16"/>
      <w:u w:val="none"/>
    </w:rPr>
  </w:style>
  <w:style w:type="paragraph" w:customStyle="1" w:styleId="72">
    <w:name w:val="文档正文"/>
    <w:basedOn w:val="1"/>
    <w:qFormat/>
    <w:uiPriority w:val="0"/>
    <w:pPr>
      <w:widowControl/>
      <w:snapToGrid w:val="0"/>
      <w:spacing w:before="60" w:after="60" w:line="360" w:lineRule="atLeast"/>
      <w:ind w:firstLine="482"/>
      <w:jc w:val="left"/>
    </w:pPr>
    <w:rPr>
      <w:kern w:val="0"/>
      <w:sz w:val="24"/>
      <w:szCs w:val="20"/>
    </w:rPr>
  </w:style>
  <w:style w:type="paragraph" w:customStyle="1" w:styleId="73">
    <w:name w:val="列出段落2"/>
    <w:basedOn w:val="1"/>
    <w:qFormat/>
    <w:uiPriority w:val="99"/>
    <w:pPr>
      <w:ind w:firstLine="420" w:firstLineChars="200"/>
    </w:pPr>
    <w:rPr>
      <w:rFonts w:ascii="Calibri" w:hAnsi="Calibri"/>
      <w:kern w:val="0"/>
      <w:sz w:val="34"/>
      <w:szCs w:val="22"/>
    </w:rPr>
  </w:style>
  <w:style w:type="paragraph" w:customStyle="1" w:styleId="74">
    <w:name w:val="列出段落5"/>
    <w:basedOn w:val="1"/>
    <w:unhideWhenUsed/>
    <w:qFormat/>
    <w:uiPriority w:val="99"/>
    <w:pPr>
      <w:ind w:firstLine="420" w:firstLineChars="200"/>
    </w:pPr>
  </w:style>
  <w:style w:type="paragraph" w:customStyle="1" w:styleId="75">
    <w:name w:val="CD正文"/>
    <w:basedOn w:val="1"/>
    <w:qFormat/>
    <w:uiPriority w:val="0"/>
    <w:pPr>
      <w:spacing w:line="360" w:lineRule="auto"/>
      <w:ind w:firstLine="493"/>
    </w:pPr>
    <w:rPr>
      <w:rFonts w:ascii="Calibri" w:hAnsi="Calibri" w:eastAsia="仿宋_GB2312"/>
      <w:kern w:val="0"/>
      <w:sz w:val="28"/>
      <w:szCs w:val="28"/>
    </w:rPr>
  </w:style>
  <w:style w:type="paragraph" w:customStyle="1" w:styleId="76">
    <w:name w:val="Table Paragraph"/>
    <w:basedOn w:val="1"/>
    <w:qFormat/>
    <w:uiPriority w:val="1"/>
  </w:style>
  <w:style w:type="paragraph" w:customStyle="1" w:styleId="77">
    <w:name w:val="List Paragraph"/>
    <w:basedOn w:val="1"/>
    <w:qFormat/>
    <w:uiPriority w:val="0"/>
    <w:pPr>
      <w:ind w:firstLine="420" w:firstLineChars="200"/>
    </w:pPr>
  </w:style>
  <w:style w:type="paragraph" w:customStyle="1" w:styleId="78">
    <w:name w:val="Normal_50"/>
    <w:qFormat/>
    <w:uiPriority w:val="0"/>
    <w:pPr>
      <w:spacing w:before="120" w:after="240"/>
      <w:jc w:val="both"/>
    </w:pPr>
    <w:rPr>
      <w:rFonts w:ascii="Calibri" w:hAnsi="Calibri" w:eastAsia="Calibri" w:cs="宋体"/>
      <w:sz w:val="22"/>
      <w:szCs w:val="22"/>
      <w:lang w:val="en-US" w:eastAsia="en-US" w:bidi="ar-SA"/>
    </w:rPr>
  </w:style>
  <w:style w:type="paragraph" w:customStyle="1" w:styleId="79">
    <w:name w:val="Normal"/>
    <w:qFormat/>
    <w:uiPriority w:val="0"/>
    <w:pPr>
      <w:widowControl w:val="0"/>
      <w:adjustRightInd w:val="0"/>
      <w:spacing w:line="312" w:lineRule="atLeast"/>
      <w:jc w:val="both"/>
      <w:textAlignment w:val="baseline"/>
    </w:pPr>
    <w:rPr>
      <w:rFonts w:ascii="宋体" w:hAnsi="Calibri" w:eastAsia="宋体" w:cs="Times New Roman"/>
      <w:sz w:val="34"/>
      <w:szCs w:val="22"/>
      <w:lang w:val="en-US" w:eastAsia="zh-CN" w:bidi="ar-SA"/>
    </w:rPr>
  </w:style>
  <w:style w:type="paragraph" w:customStyle="1" w:styleId="80">
    <w:name w:val="WPSOffice手动目录 1"/>
    <w:qFormat/>
    <w:uiPriority w:val="0"/>
    <w:pPr>
      <w:ind w:leftChars="0"/>
    </w:pPr>
    <w:rPr>
      <w:rFonts w:ascii="Calibri" w:hAnsi="Calibri" w:eastAsia="宋体" w:cs="Times New Roman"/>
      <w:sz w:val="20"/>
      <w:szCs w:val="20"/>
    </w:rPr>
  </w:style>
  <w:style w:type="character" w:customStyle="1" w:styleId="81">
    <w:name w:val="p1411"/>
    <w:basedOn w:val="35"/>
    <w:qFormat/>
    <w:uiPriority w:val="0"/>
    <w:rPr>
      <w:sz w:val="21"/>
      <w:szCs w:val="21"/>
    </w:rPr>
  </w:style>
  <w:style w:type="character" w:customStyle="1" w:styleId="82">
    <w:name w:val="font31"/>
    <w:basedOn w:val="35"/>
    <w:qFormat/>
    <w:uiPriority w:val="0"/>
    <w:rPr>
      <w:rFonts w:hint="eastAsia" w:ascii="微软雅黑" w:hAnsi="微软雅黑" w:eastAsia="微软雅黑" w:cs="微软雅黑"/>
      <w:b/>
      <w:bCs/>
      <w:color w:val="FF0000"/>
      <w:sz w:val="24"/>
      <w:szCs w:val="24"/>
      <w:u w:val="none"/>
    </w:rPr>
  </w:style>
  <w:style w:type="paragraph" w:customStyle="1" w:styleId="83">
    <w:name w:val="L正文"/>
    <w:basedOn w:val="1"/>
    <w:qFormat/>
    <w:uiPriority w:val="99"/>
    <w:rPr>
      <w:szCs w:val="21"/>
    </w:rPr>
  </w:style>
  <w:style w:type="paragraph" w:customStyle="1" w:styleId="84">
    <w:name w:val="列表段落1"/>
    <w:basedOn w:val="1"/>
    <w:qFormat/>
    <w:uiPriority w:val="0"/>
    <w:pPr>
      <w:ind w:firstLine="420" w:firstLineChars="200"/>
    </w:pPr>
    <w:rPr>
      <w:rFonts w:ascii="Calibri" w:hAnsi="Calibri"/>
      <w:kern w:val="0"/>
      <w:sz w:val="20"/>
      <w:szCs w:val="20"/>
    </w:rPr>
  </w:style>
  <w:style w:type="paragraph" w:customStyle="1" w:styleId="85">
    <w:name w:val="正文2"/>
    <w:basedOn w:val="1"/>
    <w:qFormat/>
    <w:uiPriority w:val="99"/>
    <w:pPr>
      <w:spacing w:before="156" w:line="360" w:lineRule="auto"/>
      <w:ind w:firstLine="510" w:firstLineChars="200"/>
    </w:pPr>
    <w:rPr>
      <w:rFonts w:ascii="Calibri" w:hAnsi="Calibri"/>
      <w:sz w:val="24"/>
      <w:szCs w:val="22"/>
    </w:rPr>
  </w:style>
  <w:style w:type="paragraph" w:customStyle="1" w:styleId="86">
    <w:name w:val="Body Text First Indent"/>
    <w:basedOn w:val="11"/>
    <w:qFormat/>
    <w:uiPriority w:val="0"/>
    <w:pPr>
      <w:spacing w:after="120" w:afterLines="0"/>
      <w:ind w:firstLine="420"/>
      <w:jc w:val="both"/>
    </w:pPr>
    <w:rPr>
      <w:szCs w:val="20"/>
    </w:rPr>
  </w:style>
  <w:style w:type="paragraph" w:customStyle="1" w:styleId="87">
    <w:name w:val="正文文本首行缩进1"/>
    <w:basedOn w:val="11"/>
    <w:qFormat/>
    <w:uiPriority w:val="0"/>
    <w:pPr>
      <w:ind w:firstLine="420"/>
    </w:pPr>
    <w:rPr>
      <w:szCs w:val="20"/>
    </w:rPr>
  </w:style>
  <w:style w:type="paragraph" w:customStyle="1" w:styleId="8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89">
    <w:name w:val="正文3"/>
    <w:qFormat/>
    <w:uiPriority w:val="0"/>
    <w:pPr>
      <w:widowControl w:val="0"/>
      <w:adjustRightInd w:val="0"/>
      <w:spacing w:line="312" w:lineRule="atLeast"/>
      <w:jc w:val="both"/>
      <w:textAlignment w:val="baseline"/>
    </w:pPr>
    <w:rPr>
      <w:rFonts w:ascii="宋体" w:hAnsi="Calibri" w:eastAsia="宋体" w:cs="Times New Roman"/>
      <w:sz w:val="34"/>
      <w:szCs w:val="22"/>
      <w:lang w:val="en-US" w:eastAsia="zh-CN" w:bidi="ar-SA"/>
    </w:rPr>
  </w:style>
  <w:style w:type="paragraph" w:customStyle="1" w:styleId="90">
    <w:name w:val="null3"/>
    <w:hidden/>
    <w:qFormat/>
    <w:uiPriority w:val="0"/>
    <w:rPr>
      <w:rFonts w:hint="eastAsia" w:asciiTheme="minorHAnsi" w:hAnsiTheme="minorHAnsi" w:eastAsiaTheme="minorEastAsia" w:cstheme="minorBidi"/>
      <w:lang w:val="en-US" w:eastAsia="zh-Hans"/>
    </w:rPr>
  </w:style>
  <w:style w:type="paragraph" w:customStyle="1" w:styleId="91">
    <w:name w:val="BodyText"/>
    <w:basedOn w:val="1"/>
    <w:next w:val="1"/>
    <w:qFormat/>
    <w:uiPriority w:val="0"/>
    <w:pPr>
      <w:widowControl/>
      <w:spacing w:line="360" w:lineRule="auto"/>
      <w:textAlignment w:val="baseline"/>
    </w:pPr>
    <w:rPr>
      <w:rFonts w:ascii="Calibri" w:hAnsi="Calibri"/>
      <w:color w:val="FF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www.levovo.com</Company>
  <Pages>73</Pages>
  <Words>30444</Words>
  <Characters>31499</Characters>
  <Lines>244</Lines>
  <Paragraphs>68</Paragraphs>
  <TotalTime>0</TotalTime>
  <ScaleCrop>false</ScaleCrop>
  <LinksUpToDate>false</LinksUpToDate>
  <CharactersWithSpaces>32574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2018-01-04T01:42:00Z</dcterms:created>
  <dc:creator>吴正新</dc:creator>
  <cp:lastModifiedBy>张超</cp:lastModifiedBy>
  <cp:lastPrinted>2026-04-23T04:31:00Z</cp:lastPrinted>
  <dcterms:modified xsi:type="dcterms:W3CDTF">2026-04-27T07:08:18Z</dcterms:modified>
  <dc:title>招标编号：xx政采招[xxxx] xxx号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9414016D51F74C06A5435D0611BDD1EF_13</vt:lpwstr>
  </property>
  <property fmtid="{D5CDD505-2E9C-101B-9397-08002B2CF9AE}" pid="4" name="KSOTemplateDocerSaveRecord">
    <vt:lpwstr>eyJoZGlkIjoiNGUzNTFhZGRiNmRkMWE5ZTYwMTFjYjRlMDI1ZGFhNjUiLCJ1c2VySWQiOiIzMDk0ODkzNjUifQ==</vt:lpwstr>
  </property>
</Properties>
</file>